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_____Microsoft_Excel7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2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5.xlsx" ContentType="application/vnd.openxmlformats-officedocument.spreadsheetml.sheet"/>
  <Override PartName="/word/embeddings/_____Microsoft_Excel9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3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3 месяца 2023 года</w:t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159760" cy="19716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  <w:br/>
        <w:t xml:space="preserve">за 3 месяца 2023 г. зарегистрировано 57 </w:t>
        <w:br/>
        <w:t xml:space="preserve">(55; +3,6%) ДТП с участием несовершеннолетних, в которых 58 </w:t>
        <w:br/>
        <w:t>(68; -14,7%) детей получили травмы различной степени тяжести и 1 (5; -80%) погиб.</w:t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10% от общего количества учетных дорожных аварий. Таким образом, дети стали участниками каждого 10 ДТП с пострадавшими в регионе.</w:t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с погибшим ребенком зарегистрировано в Первоуральске (+100%):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03.01.2023 </w:t>
      </w:r>
      <w:r>
        <w:rPr>
          <w:rFonts w:cs="Times New Roman" w:ascii="Times New Roman" w:hAnsi="Times New Roman"/>
          <w:i/>
          <w:sz w:val="26"/>
          <w:szCs w:val="26"/>
        </w:rPr>
        <w:t>года около 00.30 часов на 319 км автодорога Пермь-Екатеринбург (зона обслуживания отделения Госавтоинспекции ОМВД России по г. Первоуральску)</w:t>
      </w:r>
      <w:r>
        <w:rPr>
          <w:rStyle w:val="Style18"/>
          <w:rFonts w:cs="Times New Roman" w:ascii="Times New Roman" w:hAnsi="Times New Roman"/>
          <w:i w:val="false"/>
          <w:sz w:val="26"/>
          <w:szCs w:val="26"/>
        </w:rPr>
        <w:t xml:space="preserve">, </w:t>
      </w:r>
      <w:r>
        <w:rPr>
          <w:rStyle w:val="Style18"/>
          <w:rFonts w:cs="Times New Roman" w:ascii="Times New Roman" w:hAnsi="Times New Roman"/>
          <w:sz w:val="26"/>
          <w:szCs w:val="26"/>
        </w:rPr>
        <w:t>водитель автомобиля «Лада Ларгус», двигаясь в условиях снегопада,</w:t>
      </w:r>
      <w:r>
        <w:rPr>
          <w:rStyle w:val="Style18"/>
          <w:rFonts w:cs="Times New Roman" w:ascii="Times New Roman" w:hAnsi="Times New Roman"/>
          <w:i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Дастер». В результате аварии 5-летний мальчик-пассажир автомобиля «</w:t>
      </w:r>
      <w:r>
        <w:rPr>
          <w:rStyle w:val="Style18"/>
          <w:rFonts w:cs="Times New Roman" w:ascii="Times New Roman" w:hAnsi="Times New Roman"/>
          <w:sz w:val="26"/>
          <w:szCs w:val="26"/>
        </w:rPr>
        <w:t>Лада Ларгус</w:t>
      </w:r>
      <w:r>
        <w:rPr>
          <w:rFonts w:cs="Times New Roman" w:ascii="Times New Roman" w:hAnsi="Times New Roman"/>
          <w:i/>
          <w:sz w:val="26"/>
          <w:szCs w:val="26"/>
        </w:rPr>
        <w:t xml:space="preserve">», сидевший сзади посередине, пристегнутый диагональным штатным ремнем безопасности, погиб в карете скорой медицинской помощи во время транспортировки.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 женщина-пассажир данного автомобиля скончалась на месте аварии и четыре пассажира Лады, оба водителя с травмами различной степени тяжести госпитализированы. Установлено, что водитель Лады перевозил попутчиков из Екатеринбурга в Башкирию, в момент ДТП управлял автомобилем в утомленном состоянии. </w:t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10 муниципальных образованиях Свердловской области отмечается рост аварийности с участием несовершеннолетних. На 300% увеличилось количество ДТП в Березовском (4 ДТП), на 200% в Первоуральске (3 ДТП), на 100% в Полевском (2 ДТП), Байкалово, Верхней Салде, Красноуральске, Реже и Новоуральске (по 1 ДТП), на 83,3% в Нижнем Тагиле (11 ДТП) и на 3,8% в Екатеринбурге (27 ДТП).</w:t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15050" cy="264795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40% (23) пострадавших и погибших в ДТП детей приходится на среднее школьное звено, 39% (22) на начальную школу и 21% (14) на дошкольный возраст, при этом большая часть пострадали и погибли в качестве пассажиров транспортных средств. 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уменьшилось на 2% (44), количество раненых в них детей на 22,4% (45) и погибших на 80% (1).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54% ДТП (31) произошли при неблагоприятных метеорологических условиях (пасмурно, снегопад, метель) и 46% (26) при ясной погоде.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19825" cy="182880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87% происшествий с участием несовершеннолетних произошли </w:t>
        <w:br/>
        <w:t xml:space="preserve">в период с 11 ч. 00 мин. до 22 ч. 00 мин. (50 ДТП, 51 ранен), при этом пик происшествий пришелся на период с 14 ч. 00 мин. до 18 ч. 00 мин. (22 ДТП, 22 ранены) и с 11 ч. 00 мин. до 13 ч. 00 мин. (10 ДТП, 10 ранены), такая тенденция связана с активным пребыванием детей в это время на улице и интенсивностью транспорта. 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096000" cy="222250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316220" cy="2583815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49 ДТП (+31 %), в которых пострадали 50 (+16%) детей. Рост количества ДТП в населенных пунктах зафиксирован в Нижнем Тагиле – 9 (+350%); Березовском и Полевском по 2 (+100%), Верхнесалдинском районе, Красноуральске, Каменском районе, Новоуральске, Первоуральске и Реже по 1 (+100%), Екатеринбурге – 27 (+7 %). На автомобильных дорогах вне населенных пунктов зарегистрировано 8 ДТП (-53%), </w:t>
      </w:r>
      <w:r>
        <w:rPr>
          <w:color w:val="000000" w:themeColor="text1"/>
          <w:sz w:val="28"/>
          <w:szCs w:val="28"/>
        </w:rPr>
        <w:t>травмированы 8 (-69%) детей и 1 погиб (-75%). Из них, на дорогах федерального значения зарегистрировано 3 ДТП (-57%), в которых пострадали 2 ребенка (-80%) и 1 погиб (-50%). На автомобильных дорогах регионального значения произошло 14 ДТП (+16,7%), в которых 15 (-16,7%) детей получили травмы различной степени тяжести. На дорогах местного значения зарегистрировано 40 ДТП (-14,3%), в которых травмирован 41 (+5%) ребенок.</w:t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343650" cy="1983105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drawing>
          <wp:anchor behindDoc="0" distT="0" distB="4445" distL="114300" distR="114300" simplePos="0" locked="0" layoutInCell="1" allowOverlap="1" relativeHeight="3">
            <wp:simplePos x="0" y="0"/>
            <wp:positionH relativeFrom="column">
              <wp:posOffset>-326390</wp:posOffset>
            </wp:positionH>
            <wp:positionV relativeFrom="paragraph">
              <wp:posOffset>92075</wp:posOffset>
            </wp:positionV>
            <wp:extent cx="1127760" cy="1691005"/>
            <wp:effectExtent l="0" t="0" r="0" b="0"/>
            <wp:wrapSquare wrapText="bothSides"/>
            <wp:docPr id="10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8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>
        <w:rPr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34 </w:t>
        <w:br/>
        <w:t xml:space="preserve">(36; -5,6%) ДТП, в которых пострадали 35 (50; -30%) детей </w:t>
        <w:br/>
        <w:t xml:space="preserve">и 1 (4; -75%) погиб. Из них в возрасте до 12 лет травмированы 28 детей (27; +3,7%) и 1 погиб (-75%).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60%.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18 (уровень АППГ)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17 детей и 1 погиб.</w:t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381125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3 ДТП водители перевозили юных пассажиров в возрасте до 12 лет с нарушением правил перевозки детей, в этих авариях травмированы </w:t>
        <w:br/>
        <w:t>3 несовершеннолетних (12; -75%)</w:t>
      </w:r>
      <w:bookmarkStart w:id="0" w:name="_GoBack"/>
      <w:bookmarkEnd w:id="0"/>
      <w:r>
        <w:rPr>
          <w:color w:val="000000" w:themeColor="text1"/>
          <w:sz w:val="28"/>
          <w:szCs w:val="28"/>
        </w:rPr>
        <w:t>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(28; -12,5%), количество травмированных в них детей уменьшилось на 34% (29), погибших на 75% (1).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11.00 до 17.00 (20 ДТП, 20 ранены). На 100% увеличилось количество аварий в пятницу (4 ДТП, 4 ранены) и на 33,3% в воскресенье (8 ДТП, 8 ранены). ДТП с погибшим ребенком зарегистрировано во вторник.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2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  <w:br/>
        <w:t>20 ДТП (19; +5,3%), в которых пострадали 20 (18; +11%) детей. От общего показателя аварийности с участием несовершеннолетних доля ДТП с участием детей- пешеходов составила 35%.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20% (12) увеличилось количество ДТП по собственной неосторожности несовершеннолетних пешеходов, в этих авариях пострадали 12 детей (+20%).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70% наездов на детей (14) совершены на пешеходных переходах. В таких происшествиях травмированы 14 юных пешеходов (+27%).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увеличилось на 150% (5 ДТП, 5 ранены). Одним из сопутствующих факторов таких ДТП стало отсутствие на верхней одежде или рюкзаке ребенка световозвращающих элементов.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Участниками происшествий стали дети-пешеходы в возрасте 8-10 лет (10 ДТП, +200%), 11-12 лет (5 ДТП), 13-15 лет (4 ДТП), 5 лет (1 ДТП). Все наезды произошли в городах и населенных пунктах. Наибольшие показатели количества ДТП с участием детей-пешеходов зафиксированы во вторник (8 ДТП; + 166,7%), пятницу (4 ДТП, уровень АППГ) и субботу (3 ДТП; +100%). По 2 ДТП зарегистрировано в понедельник, четверг и 1 ДТП в среду. </w:t>
      </w:r>
      <w:r>
        <w:rPr>
          <w:sz w:val="28"/>
          <w:szCs w:val="28"/>
        </w:rPr>
        <w:t>По времени совершения рост дорожных аварий зафиксирован в период с 11 до 13 часов (5 ДТП; +100%) и с 21 до 22 часов (3 ДТП; +200%).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8 случаях ДТП (40%)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 ДТП зарегистрированы вблизи ДОУ № 191, 206, МБОУ СОШ №35 г. Нижний Тагил, МАОУ СОШ №14 г. Верхняя Салда, МБОУ Гимназия № 5 (здание на ул. Хохрякова, 28а), МАОУ Лицей № 12, МАОУ СОШ № 62 г. Екатеринбург.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юных водителей мототранспорта</w:t>
      </w:r>
      <w:r>
        <w:rPr>
          <w:sz w:val="28"/>
          <w:szCs w:val="28"/>
        </w:rPr>
        <w:t xml:space="preserve"> зарегистрировано 2 ДТП (+100%), в результате которого травмированы 2 ребенка (+100%).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юных велосипедистов</w:t>
      </w:r>
      <w:r>
        <w:rPr>
          <w:sz w:val="28"/>
          <w:szCs w:val="28"/>
        </w:rPr>
        <w:t xml:space="preserve"> зарегистрировано 1 ДТП (+100%), в результате которого травмирован 1 ребенок (+100%). Авария зарегистрирована в Каменске-Уральском.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800725" cy="2305050"/>
            <wp:effectExtent l="0" t="0" r="0" b="0"/>
            <wp:docPr id="1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>
      <w:pPr>
        <w:pStyle w:val="Normal"/>
        <w:ind w:left="-709" w:firstLine="720"/>
        <w:jc w:val="both"/>
        <w:rPr>
          <w:color w:val="0D0D0D" w:themeColor="text1" w:themeTint="f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несовершеннолетних усматривается в 12 ДТП из 57 и составляет 21% от </w:t>
      </w:r>
      <w:r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  <w:br/>
        <w:t>7 (+75%), Нижний Тагил 4 (+100%) и Сысерть 1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(6) и неподчинение сигналам регулирования (6).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496050" cy="1781175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/>
      </w:r>
    </w:p>
    <w:sectPr>
      <w:headerReference w:type="default" r:id="rId16"/>
      <w:type w:val="nextPage"/>
      <w:pgSz w:w="11906" w:h="16838"/>
      <w:pgMar w:left="1701" w:right="566" w:header="708" w:top="851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70453342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image" Target="media/image1.jpeg"/><Relationship Id="rId12" Type="http://schemas.openxmlformats.org/officeDocument/2006/relationships/chart" Target="charts/chart10.xml"/><Relationship Id="rId13" Type="http://schemas.openxmlformats.org/officeDocument/2006/relationships/image" Target="media/image2.jpeg"/><Relationship Id="rId14" Type="http://schemas.openxmlformats.org/officeDocument/2006/relationships/chart" Target="charts/chart11.xml"/><Relationship Id="rId15" Type="http://schemas.openxmlformats.org/officeDocument/2006/relationships/chart" Target="charts/chart12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gapWidth val="150"/>
        <c:shape val="box"/>
        <c:axId val="57180380"/>
        <c:axId val="39035190"/>
        <c:axId val="0"/>
      </c:bar3DChart>
      <c:catAx>
        <c:axId val="5718038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9035190"/>
        <c:crosses val="autoZero"/>
        <c:auto val="1"/>
        <c:lblAlgn val="ctr"/>
        <c:lblOffset val="100"/>
      </c:catAx>
      <c:valAx>
        <c:axId val="3903519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7180380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неосторожности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8"/>
            <c:spPr>
              <a:solidFill>
                <a:srgbClr val="63636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9"/>
            <c:spPr>
              <a:solidFill>
                <a:srgbClr val="9973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0"/>
            <c:spPr>
              <a:solidFill>
                <a:srgbClr val="26447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1"/>
            <c:spPr>
              <a:solidFill>
                <a:srgbClr val="43682b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2"/>
            <c:spPr>
              <a:solidFill>
                <a:srgbClr val="ffd966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3"/>
            <c:spPr>
              <a:solidFill>
                <a:srgbClr val="f1975a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4"/>
            <c:spPr>
              <a:solidFill>
                <a:srgbClr val="b7b7b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5"/>
            <c:spPr>
              <a:solidFill>
                <a:srgbClr val="ffcd3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6"/>
            <c:spPr>
              <a:solidFill>
                <a:srgbClr val="698ed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7"/>
            <c:spPr>
              <a:solidFill>
                <a:srgbClr val="8cc16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8"/>
            <c:spPr>
              <a:solidFill>
                <a:srgbClr val="327dc2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9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0"/>
            <c:spPr>
              <a:solidFill>
                <a:srgbClr val="c5e0b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1"/>
            <c:spPr>
              <a:solidFill>
                <a:srgbClr val="cc9a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2"/>
            <c:spPr>
              <a:solidFill>
                <a:srgbClr val="335aa1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3"/>
                <c:pt idx="0">
                  <c:v/>
                </c:pt>
                <c:pt idx="1">
                  <c:v/>
                </c:pt>
                <c:pt idx="2">
                  <c:v/>
                </c:pt>
                <c:pt idx="3">
                  <c:v/>
                </c:pt>
                <c:pt idx="4">
                  <c:v/>
                </c:pt>
                <c:pt idx="5">
                  <c:v/>
                </c:pt>
                <c:pt idx="6">
                  <c:v/>
                </c:pt>
                <c:pt idx="7">
                  <c:v/>
                </c:pt>
                <c:pt idx="8">
                  <c:v/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>1</c:v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>4</c:v>
                </c:pt>
                <c:pt idx="21">
                  <c:v/>
                </c:pt>
                <c:pt idx="22">
                  <c:v>7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rgbClr val="ed7d31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>
              <c:idx val="9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rgbClr val="ffc000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gapWidth val="100"/>
        <c:overlap val="0"/>
        <c:axId val="74869868"/>
        <c:axId val="21761115"/>
      </c:barChart>
      <c:catAx>
        <c:axId val="74869868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1761115"/>
        <c:crosses val="autoZero"/>
        <c:auto val="1"/>
        <c:lblAlgn val="ctr"/>
        <c:lblOffset val="100"/>
      </c:catAx>
      <c:valAx>
        <c:axId val="2176111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486986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0" sz="1200" spc="-1" strike="noStrike">
                <a:solidFill>
                  <a:srgbClr val="000000"/>
                </a:solidFill>
                <a:latin typeface="Calibri"/>
              </a:rPr>
              <a:t>Распределение пострадавших и погибших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gapWidth val="219"/>
        <c:overlap val="-27"/>
        <c:axId val="57207583"/>
        <c:axId val="66213342"/>
      </c:barChart>
      <c:catAx>
        <c:axId val="57207583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6213342"/>
        <c:crosses val="autoZero"/>
        <c:auto val="1"/>
        <c:lblAlgn val="ctr"/>
        <c:lblOffset val="100"/>
      </c:catAx>
      <c:valAx>
        <c:axId val="6621334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7207583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219"/>
        <c:overlap val="-27"/>
        <c:axId val="38932432"/>
        <c:axId val="27817902"/>
      </c:barChart>
      <c:catAx>
        <c:axId val="389324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7817902"/>
        <c:crosses val="autoZero"/>
        <c:auto val="1"/>
        <c:lblAlgn val="ctr"/>
        <c:lblOffset val="100"/>
      </c:catAx>
      <c:valAx>
        <c:axId val="2781790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893243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219"/>
        <c:overlap val="0"/>
        <c:axId val="90832582"/>
        <c:axId val="68116883"/>
      </c:barChart>
      <c:catAx>
        <c:axId val="9083258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8116883"/>
        <c:crosses val="autoZero"/>
        <c:auto val="1"/>
        <c:lblAlgn val="ctr"/>
        <c:lblOffset val="100"/>
      </c:catAx>
      <c:valAx>
        <c:axId val="6811688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083258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/>
                </c:pt>
                <c:pt idx="7">
                  <c:v>2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и погибших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/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/>
                </c:pt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/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/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82"/>
        <c:overlap val="0"/>
        <c:axId val="74701861"/>
        <c:axId val="36436989"/>
      </c:barChart>
      <c:catAx>
        <c:axId val="74701861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6436989"/>
        <c:crosses val="autoZero"/>
        <c:auto val="1"/>
        <c:lblAlgn val="ctr"/>
        <c:lblOffset val="100"/>
      </c:catAx>
      <c:valAx>
        <c:axId val="3643698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4701861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D8FE-763D-440B-96B6-297F8F3F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LibreOffice/6.0.5.2$Linux_X86_64 LibreOffice_project/00m0$Build-2</Application>
  <Pages>5</Pages>
  <Words>1146</Words>
  <Characters>6845</Characters>
  <CharactersWithSpaces>7993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2023-04-20T07:03:00Z</dcterms:created>
  <dc:creator>Пользователь</dc:creator>
  <dc:description/>
  <dc:language>ru-RU</dc:language>
  <cp:lastModifiedBy/>
  <cp:lastPrinted>2023-03-10T11:07:00Z</cp:lastPrinted>
  <dcterms:modified xsi:type="dcterms:W3CDTF">2023-05-05T16:45:45Z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