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embeddings/_____Microsoft_Excel7.xlsx" ContentType="application/vnd.openxmlformats-officedocument.spreadsheetml.sheet"/>
  <Override PartName="/word/embeddings/_____Microsoft_Excel2.xlsx" ContentType="application/vnd.openxmlformats-officedocument.spreadsheetml.sheet"/>
  <Override PartName="/word/embeddings/_____Microsoft_Excel12.xlsx" ContentType="application/vnd.openxmlformats-officedocument.spreadsheetml.sheet"/>
  <Override PartName="/word/embeddings/_____Microsoft_Excel1.xlsx" ContentType="application/vnd.openxmlformats-officedocument.spreadsheetml.sheet"/>
  <Override PartName="/word/embeddings/_____Microsoft_Excel10.xlsx" ContentType="application/vnd.openxmlformats-officedocument.spreadsheetml.sheet"/>
  <Override PartName="/word/embeddings/_____Microsoft_Excel6.xlsx" ContentType="application/vnd.openxmlformats-officedocument.spreadsheetml.sheet"/>
  <Override PartName="/word/embeddings/_____Microsoft_Excel5.xlsx" ContentType="application/vnd.openxmlformats-officedocument.spreadsheetml.sheet"/>
  <Override PartName="/word/embeddings/_____Microsoft_Excel9.xlsx" ContentType="application/vnd.openxmlformats-officedocument.spreadsheetml.sheet"/>
  <Override PartName="/word/embeddings/_____Microsoft_Excel11.xlsx" ContentType="application/vnd.openxmlformats-officedocument.spreadsheetml.sheet"/>
  <Override PartName="/word/embeddings/_____Microsoft_Excel4.xlsx" ContentType="application/vnd.openxmlformats-officedocument.spreadsheetml.sheet"/>
  <Override PartName="/word/embeddings/_____Microsoft_Excel8.xlsx" ContentType="application/vnd.openxmlformats-officedocument.spreadsheetml.sheet"/>
  <Override PartName="/word/embeddings/_____Microsoft_Excel3.xlsx" ContentType="application/vnd.openxmlformats-officedocument.spreadsheetml.sheet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2.jpeg" ContentType="image/jpeg"/>
  <Override PartName="/word/media/image1.jpeg" ContentType="image/jpeg"/>
  <Override PartName="/word/document.xml" ContentType="application/vnd.openxmlformats-officedocument.wordprocessingml.document.main+xml"/>
  <Override PartName="/word/charts/_rels/chart11.xml.rels" ContentType="application/vnd.openxmlformats-package.relationships+xml"/>
  <Override PartName="/word/charts/_rels/chart4.xml.rels" ContentType="application/vnd.openxmlformats-package.relationships+xml"/>
  <Override PartName="/word/charts/_rels/chart3.xml.rels" ContentType="application/vnd.openxmlformats-package.relationships+xml"/>
  <Override PartName="/word/charts/_rels/chart5.xml.rels" ContentType="application/vnd.openxmlformats-package.relationships+xml"/>
  <Override PartName="/word/charts/_rels/chart6.xml.rels" ContentType="application/vnd.openxmlformats-package.relationships+xml"/>
  <Override PartName="/word/charts/_rels/chart7.xml.rels" ContentType="application/vnd.openxmlformats-package.relationships+xml"/>
  <Override PartName="/word/charts/_rels/chart1.xml.rels" ContentType="application/vnd.openxmlformats-package.relationships+xml"/>
  <Override PartName="/word/charts/_rels/chart8.xml.rels" ContentType="application/vnd.openxmlformats-package.relationships+xml"/>
  <Override PartName="/word/charts/_rels/chart12.xml.rels" ContentType="application/vnd.openxmlformats-package.relationships+xml"/>
  <Override PartName="/word/charts/_rels/chart2.xml.rels" ContentType="application/vnd.openxmlformats-package.relationships+xml"/>
  <Override PartName="/word/charts/_rels/chart9.xml.rels" ContentType="application/vnd.openxmlformats-package.relationships+xml"/>
  <Override PartName="/word/charts/_rels/chart10.xml.rels" ContentType="application/vnd.openxmlformats-package.relationships+xml"/>
  <Override PartName="/word/charts/chart12.xml" ContentType="application/vnd.openxmlformats-officedocument.drawingml.chart+xml"/>
  <Override PartName="/word/charts/chart11.xml" ContentType="application/vnd.openxmlformats-officedocument.drawingml.chart+xml"/>
  <Override PartName="/word/charts/chart4.xml" ContentType="application/vnd.openxmlformats-officedocument.drawingml.chart+xml"/>
  <Override PartName="/word/charts/chart3.xml" ContentType="application/vnd.openxmlformats-officedocument.drawingml.chart+xml"/>
  <Override PartName="/word/charts/chart2.xml" ContentType="application/vnd.openxmlformats-officedocument.drawingml.chart+xml"/>
  <Override PartName="/word/charts/chart1.xml" ContentType="application/vnd.openxmlformats-officedocument.drawingml.chart+xml"/>
  <Override PartName="/word/charts/chart5.xml" ContentType="application/vnd.openxmlformats-officedocument.drawingml.chart+xml"/>
  <Override PartName="/word/charts/chart10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left="-709" w:right="-284" w:hanging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Анализ</w:t>
      </w:r>
    </w:p>
    <w:p>
      <w:pPr>
        <w:pStyle w:val="Normal"/>
        <w:ind w:left="-709" w:right="-284" w:hanging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состояния детского дорожно-транспортного травматизма</w:t>
      </w:r>
    </w:p>
    <w:p>
      <w:pPr>
        <w:pStyle w:val="Normal"/>
        <w:ind w:left="-709" w:right="-284" w:hanging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на территории Свердловской области за 3 месяца 2023 года</w:t>
      </w:r>
    </w:p>
    <w:p>
      <w:pPr>
        <w:pStyle w:val="Normal"/>
        <w:suppressAutoHyphens w:val="true"/>
        <w:ind w:left="-709" w:firstLine="709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drawing>
          <wp:inline distT="0" distB="0" distL="0" distR="0">
            <wp:extent cx="3159760" cy="1971675"/>
            <wp:effectExtent l="0" t="0" r="0" b="0"/>
            <wp:docPr id="1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"/>
              </a:graphicData>
            </a:graphic>
          </wp:inline>
        </w:drawing>
      </w:r>
    </w:p>
    <w:p>
      <w:pPr>
        <w:pStyle w:val="Normal"/>
        <w:suppressAutoHyphens w:val="true"/>
        <w:ind w:left="-709" w:right="-1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На территории Свердловской области </w:t>
        <w:br/>
        <w:t xml:space="preserve">за 3 месяца 2023 г. зарегистрировано 57 </w:t>
        <w:br/>
        <w:t xml:space="preserve">(55; +3,6%) ДТП с участием несовершеннолетних, в которых 58 </w:t>
        <w:br/>
        <w:t>(68; -14,7%) детей получили травмы различной степени тяжести и 1 (5; -80%) погиб.</w:t>
      </w:r>
    </w:p>
    <w:p>
      <w:pPr>
        <w:pStyle w:val="Normal"/>
        <w:suppressAutoHyphens w:val="true"/>
        <w:ind w:left="-709" w:right="-1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Дорожно-транспортные происшествия, в результате которых пострадали дети, составили 10% от общего количества учетных дорожных аварий. Таким образом, дети стали участниками каждого 10 ДТП с пострадавшими в регионе.</w:t>
      </w:r>
    </w:p>
    <w:p>
      <w:pPr>
        <w:pStyle w:val="Normal"/>
        <w:suppressAutoHyphens w:val="true"/>
        <w:ind w:left="-709" w:right="-1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ДТП с погибшим ребенком зарегистрировано в Первоуральске (+100%):</w:t>
      </w:r>
    </w:p>
    <w:p>
      <w:pPr>
        <w:pStyle w:val="ConsPlusNormal"/>
        <w:widowControl/>
        <w:numPr>
          <w:ilvl w:val="0"/>
          <w:numId w:val="0"/>
        </w:numPr>
        <w:ind w:left="-709" w:firstLine="567"/>
        <w:jc w:val="both"/>
        <w:outlineLvl w:val="1"/>
        <w:rPr>
          <w:rFonts w:ascii="Times New Roman" w:hAnsi="Times New Roman" w:cs="Times New Roman"/>
          <w:i/>
          <w:i/>
          <w:sz w:val="26"/>
          <w:szCs w:val="26"/>
        </w:rPr>
      </w:pPr>
      <w:r>
        <w:rPr>
          <w:rFonts w:cs="Times New Roman" w:ascii="Times New Roman" w:hAnsi="Times New Roman"/>
          <w:b/>
          <w:i/>
          <w:sz w:val="26"/>
          <w:szCs w:val="26"/>
        </w:rPr>
        <w:t xml:space="preserve">03.01.2023 </w:t>
      </w:r>
      <w:r>
        <w:rPr>
          <w:rFonts w:cs="Times New Roman" w:ascii="Times New Roman" w:hAnsi="Times New Roman"/>
          <w:i/>
          <w:sz w:val="26"/>
          <w:szCs w:val="26"/>
        </w:rPr>
        <w:t>года около 00.30 часов на 319 км автодорога Пермь-Екатеринбург (зона обслуживания отделения Госавтоинспекции ОМВД России по г. Первоуральску)</w:t>
      </w:r>
      <w:r>
        <w:rPr>
          <w:rStyle w:val="Style18"/>
          <w:rFonts w:cs="Times New Roman" w:ascii="Times New Roman" w:hAnsi="Times New Roman"/>
          <w:i w:val="false"/>
          <w:sz w:val="26"/>
          <w:szCs w:val="26"/>
        </w:rPr>
        <w:t xml:space="preserve">, </w:t>
      </w:r>
      <w:r>
        <w:rPr>
          <w:rStyle w:val="Style18"/>
          <w:rFonts w:cs="Times New Roman" w:ascii="Times New Roman" w:hAnsi="Times New Roman"/>
          <w:sz w:val="26"/>
          <w:szCs w:val="26"/>
        </w:rPr>
        <w:t>водитель автомобиля «Лада Ларгус», двигаясь в условиях снегопада,</w:t>
      </w:r>
      <w:r>
        <w:rPr>
          <w:rStyle w:val="Style18"/>
          <w:rFonts w:cs="Times New Roman" w:ascii="Times New Roman" w:hAnsi="Times New Roman"/>
          <w:i w:val="false"/>
          <w:sz w:val="26"/>
          <w:szCs w:val="26"/>
        </w:rPr>
        <w:t xml:space="preserve"> </w:t>
      </w:r>
      <w:r>
        <w:rPr>
          <w:rFonts w:cs="Times New Roman" w:ascii="Times New Roman" w:hAnsi="Times New Roman"/>
          <w:i/>
          <w:sz w:val="26"/>
          <w:szCs w:val="26"/>
        </w:rPr>
        <w:t>выбрал небезопасную скорость, вследствие чего не справился с управлением и допустил наезд на композитное ограждение с последующим выездом на встречную полосу, где совершил столкновение с автомашиной «Рено Дастер». В результате аварии 5-летний мальчик-пассажир автомобиля «</w:t>
      </w:r>
      <w:r>
        <w:rPr>
          <w:rStyle w:val="Style18"/>
          <w:rFonts w:cs="Times New Roman" w:ascii="Times New Roman" w:hAnsi="Times New Roman"/>
          <w:sz w:val="26"/>
          <w:szCs w:val="26"/>
        </w:rPr>
        <w:t>Лада Ларгус</w:t>
      </w:r>
      <w:r>
        <w:rPr>
          <w:rFonts w:cs="Times New Roman" w:ascii="Times New Roman" w:hAnsi="Times New Roman"/>
          <w:i/>
          <w:sz w:val="26"/>
          <w:szCs w:val="26"/>
        </w:rPr>
        <w:t xml:space="preserve">», сидевший сзади посередине, пристегнутый диагональным штатным ремнем безопасности, погиб в карете скорой медицинской помощи во время транспортировки. Слева от юного пассажира сидела мать, которая не была пристегнута ремнем безопасности, предположительно она придавила ребенка своей массой тела в момент удара. Еще одна женщина-пассажир данного автомобиля скончалась на месте аварии и четыре пассажира Лады, оба водителя с травмами различной степени тяжести госпитализированы. Установлено, что водитель Лады перевозил попутчиков из Екатеринбурга в Башкирию, в момент ДТП управлял автомобилем в утомленном состоянии. </w:t>
      </w:r>
    </w:p>
    <w:p>
      <w:pPr>
        <w:pStyle w:val="Normal"/>
        <w:ind w:left="-709"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В 10 муниципальных образованиях Свердловской области отмечается рост аварийности с участием несовершеннолетних. На 300% увеличилось количество ДТП в Березовском (4 ДТП), на 200% в Первоуральске (3 ДТП), на 100% в Полевском (2 ДТП), Байкалово, Верхней Салде, Красноуральске, Реже и Новоуральске (по 1 ДТП), на 83,3% в Нижнем Тагиле (11 ДТП) и на 3,8% в Екатеринбурге (27 ДТП).</w:t>
      </w:r>
    </w:p>
    <w:p>
      <w:pPr>
        <w:pStyle w:val="Normal"/>
        <w:ind w:left="-709" w:firstLine="284"/>
        <w:jc w:val="both"/>
        <w:rPr>
          <w:color w:val="FF0000"/>
          <w:sz w:val="28"/>
          <w:szCs w:val="28"/>
        </w:rPr>
      </w:pPr>
      <w:r>
        <w:rPr/>
        <w:drawing>
          <wp:inline distT="0" distB="0" distL="0" distR="0">
            <wp:extent cx="6115050" cy="2647950"/>
            <wp:effectExtent l="0" t="0" r="0" b="0"/>
            <wp:docPr id="2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"/>
              </a:graphicData>
            </a:graphic>
          </wp:inline>
        </w:drawing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40% (23) пострадавших и погибших в ДТП детей приходится на среднее школьное звено, 39% (22) на начальную школу и 21% (14) на дошкольный возраст, при этом большая часть пострадали и погибли в качестве пассажиров транспортных средств. </w:t>
      </w:r>
    </w:p>
    <w:p>
      <w:pPr>
        <w:pStyle w:val="Normal"/>
        <w:ind w:left="-709" w:hanging="0"/>
        <w:jc w:val="both"/>
        <w:rPr>
          <w:color w:val="FF0000"/>
          <w:sz w:val="28"/>
          <w:szCs w:val="28"/>
        </w:rPr>
      </w:pPr>
      <w:r>
        <w:rPr/>
        <w:drawing>
          <wp:inline distT="0" distB="0" distL="0" distR="0">
            <wp:extent cx="3028950" cy="2247900"/>
            <wp:effectExtent l="0" t="0" r="0" b="0"/>
            <wp:docPr id="3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r>
        <w:rPr/>
        <w:drawing>
          <wp:inline distT="0" distB="0" distL="0" distR="0">
            <wp:extent cx="3019425" cy="2247900"/>
            <wp:effectExtent l="0" t="0" r="0" b="0"/>
            <wp:docPr id="4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 причине нарушения ПДД РФ водителями автотранспортных средств количество ДТП уменьшилось на 2% (44), количество раненых в них детей на 22,4% (45) и погибших на 80% (1).</w:t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709" w:firstLine="142"/>
        <w:jc w:val="both"/>
        <w:rPr>
          <w:color w:val="FF0000"/>
          <w:sz w:val="28"/>
          <w:szCs w:val="28"/>
        </w:rPr>
      </w:pPr>
      <w:r>
        <w:rPr/>
        <w:drawing>
          <wp:inline distT="0" distB="0" distL="0" distR="0">
            <wp:extent cx="6268720" cy="1657350"/>
            <wp:effectExtent l="0" t="0" r="0" b="0"/>
            <wp:docPr id="5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>
      <w:pPr>
        <w:pStyle w:val="Normal"/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54% ДТП (31) произошли при неблагоприятных метеорологических условиях (пасмурно, снегопад, метель) и 46% (26) при ясной погоде.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 </w:t>
      </w:r>
    </w:p>
    <w:p>
      <w:pPr>
        <w:pStyle w:val="Normal"/>
        <w:ind w:left="-709" w:hanging="0"/>
        <w:jc w:val="both"/>
        <w:rPr>
          <w:color w:val="FF0000"/>
          <w:sz w:val="28"/>
          <w:szCs w:val="28"/>
        </w:rPr>
      </w:pPr>
      <w:r>
        <w:rPr/>
        <w:drawing>
          <wp:inline distT="0" distB="0" distL="0" distR="0">
            <wp:extent cx="6219825" cy="1828800"/>
            <wp:effectExtent l="0" t="0" r="0" b="0"/>
            <wp:docPr id="6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>
      <w:pPr>
        <w:pStyle w:val="Normal"/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87% происшествий с участием несовершеннолетних произошли </w:t>
        <w:br/>
        <w:t xml:space="preserve">в период с 11 ч. 00 мин. до 22 ч. 00 мин. (50 ДТП, 51 ранен), при этом пик происшествий пришелся на период с 14 ч. 00 мин. до 18 ч. 00 мин. (22 ДТП, 22 ранены) и с 11 ч. 00 мин. до 13 ч. 00 мин. (10 ДТП, 10 ранены), такая тенденция связана с активным пребыванием детей в это время на улице и интенсивностью транспорта. </w:t>
      </w:r>
    </w:p>
    <w:p>
      <w:pPr>
        <w:pStyle w:val="Normal"/>
        <w:ind w:left="-709" w:hanging="0"/>
        <w:jc w:val="both"/>
        <w:rPr>
          <w:color w:val="FF0000"/>
          <w:sz w:val="28"/>
          <w:szCs w:val="28"/>
        </w:rPr>
      </w:pPr>
      <w:r>
        <w:rPr/>
        <w:drawing>
          <wp:inline distT="0" distB="0" distL="0" distR="0">
            <wp:extent cx="6096000" cy="2222500"/>
            <wp:effectExtent l="0" t="0" r="0" b="0"/>
            <wp:docPr id="7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>
      <w:pPr>
        <w:pStyle w:val="Normal"/>
        <w:ind w:left="-709" w:hanging="0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ind w:left="-709" w:firstLine="426"/>
        <w:jc w:val="both"/>
        <w:rPr>
          <w:color w:val="FF0000"/>
          <w:sz w:val="28"/>
          <w:szCs w:val="28"/>
        </w:rPr>
      </w:pPr>
      <w:r>
        <w:rPr/>
        <w:drawing>
          <wp:inline distT="0" distB="0" distL="0" distR="0">
            <wp:extent cx="5316220" cy="2583815"/>
            <wp:effectExtent l="0" t="0" r="0" b="0"/>
            <wp:docPr id="8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>
      <w:pPr>
        <w:pStyle w:val="Normal"/>
        <w:ind w:left="-709" w:firstLine="72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На автомобильных дорогах, расположенных в черте населенных пунктов, зарегистрировано 49 ДТП (+31 %), в которых пострадали 50 (+16%) детей. Рост количества ДТП в населенных пунктах зафиксирован в Нижнем Тагиле – 9 (+350%); Березовском и Полевском по 2 (+100%), Верхнесалдинском районе, Красноуральске, Каменском районе, Новоуральске, Первоуральске и Реже по 1 (+100%), Екатеринбурге – 27 (+7 %). На автомобильных дорогах вне населенных пунктов зарегистрировано 8 ДТП (-53%), </w:t>
      </w:r>
      <w:r>
        <w:rPr>
          <w:color w:val="000000" w:themeColor="text1"/>
          <w:sz w:val="28"/>
          <w:szCs w:val="28"/>
        </w:rPr>
        <w:t>травмированы 8 (-69%) детей и 1 погиб (-75%). Из них, на дорогах федерального значения зарегистрировано 3 ДТП (-57%), в которых пострадали 2 ребенка (-80%) и 1 погиб (-50%). На автомобильных дорогах регионального значения произошло 14 ДТП (+16,7%), в которых 15 (-16,7%) детей получили травмы различной степени тяжести. На дорогах местного значения зарегистрировано 40 ДТП (-14,3%), в которых травмирован 41 (+5%) ребенок.</w:t>
      </w:r>
    </w:p>
    <w:p>
      <w:pPr>
        <w:pStyle w:val="Normal"/>
        <w:ind w:left="-709" w:firstLine="284"/>
        <w:jc w:val="both"/>
        <w:rPr>
          <w:color w:val="FF0000"/>
          <w:sz w:val="28"/>
          <w:szCs w:val="28"/>
        </w:rPr>
      </w:pPr>
      <w:r>
        <w:rPr/>
        <w:drawing>
          <wp:inline distT="0" distB="0" distL="0" distR="0">
            <wp:extent cx="6343650" cy="1983105"/>
            <wp:effectExtent l="0" t="0" r="0" b="0"/>
            <wp:docPr id="9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>
      <w:pPr>
        <w:pStyle w:val="Normal"/>
        <w:ind w:left="-709" w:firstLine="284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drawing>
          <wp:anchor behindDoc="0" distT="0" distB="4445" distL="114300" distR="114300" simplePos="0" locked="0" layoutInCell="1" allowOverlap="1" relativeHeight="3">
            <wp:simplePos x="0" y="0"/>
            <wp:positionH relativeFrom="column">
              <wp:posOffset>-326390</wp:posOffset>
            </wp:positionH>
            <wp:positionV relativeFrom="paragraph">
              <wp:posOffset>92075</wp:posOffset>
            </wp:positionV>
            <wp:extent cx="1127760" cy="1691005"/>
            <wp:effectExtent l="0" t="0" r="0" b="0"/>
            <wp:wrapSquare wrapText="bothSides"/>
            <wp:docPr id="10" name="Рисунок 18" descr="D:\Кравченко\Анализ ДДТТ\Картинки\Талица 1 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8" descr="D:\Кравченко\Анализ ДДТТ\Картинки\Талица 1 2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1691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о категориям участников дорожного движения показатели распределились следующим образом</w:t>
      </w:r>
      <w:r>
        <w:rPr>
          <w:sz w:val="28"/>
          <w:szCs w:val="28"/>
        </w:rPr>
        <w:t xml:space="preserve">: </w:t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С участием </w:t>
      </w:r>
      <w:r>
        <w:rPr>
          <w:b/>
          <w:i/>
          <w:sz w:val="28"/>
          <w:szCs w:val="28"/>
        </w:rPr>
        <w:t>детей - пассажиров</w:t>
      </w:r>
      <w:r>
        <w:rPr>
          <w:sz w:val="28"/>
          <w:szCs w:val="28"/>
        </w:rPr>
        <w:t xml:space="preserve"> зарегистрировано 34 </w:t>
        <w:br/>
        <w:t xml:space="preserve">(36; -5,6%) ДТП, в которых пострадали 35 (50; -30%) детей </w:t>
        <w:br/>
        <w:t xml:space="preserve">и 1 (4; -75%) погиб. Из них в возрасте до 12 лет травмированы 28 детей (27; +3,7%) и 1 погиб (-75%). </w:t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>Доля ДТП с участием детей - пассажиров от общего показателя аварийности с участием детей составила 60%.</w:t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>В 18 (уровень АППГ) случаях ДТП с пострадавшими детьми-пассажирами произошли по причине нарушения ПДД РФ водителем, в чьем транспортном средстве находились дети, в этих авариях пострадали 17 детей и 1 погиб.</w:t>
      </w:r>
    </w:p>
    <w:p>
      <w:pPr>
        <w:pStyle w:val="Normal"/>
        <w:ind w:left="-709" w:firstLine="426"/>
        <w:jc w:val="center"/>
        <w:rPr>
          <w:color w:val="FF0000"/>
          <w:sz w:val="28"/>
          <w:szCs w:val="28"/>
        </w:rPr>
      </w:pPr>
      <w:r>
        <w:rPr/>
        <w:drawing>
          <wp:inline distT="0" distB="0" distL="0" distR="0">
            <wp:extent cx="4114800" cy="1381125"/>
            <wp:effectExtent l="0" t="0" r="0" b="0"/>
            <wp:docPr id="11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>
      <w:pPr>
        <w:pStyle w:val="Normal"/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3 ДТП водители перевозили юных пассажиров в возрасте до 12 лет с нарушением правил перевозки детей, в этих авариях травмированы </w:t>
        <w:br/>
        <w:t>3 несовершеннолетних (12; -75%)</w:t>
      </w:r>
      <w:bookmarkStart w:id="0" w:name="_GoBack"/>
      <w:bookmarkEnd w:id="0"/>
      <w:r>
        <w:rPr>
          <w:color w:val="000000" w:themeColor="text1"/>
          <w:sz w:val="28"/>
          <w:szCs w:val="28"/>
        </w:rPr>
        <w:t>.</w:t>
      </w:r>
    </w:p>
    <w:p>
      <w:pPr>
        <w:pStyle w:val="Normal"/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Подавляющее большинство происшествий, в которых пострадали дети-пассажиры - это столкновения транспортных средств (28; -12,5%), количество травмированных в них детей уменьшилось на 34% (29), погибших на 75% (1). </w:t>
      </w:r>
    </w:p>
    <w:p>
      <w:pPr>
        <w:pStyle w:val="Normal"/>
        <w:ind w:left="-709" w:firstLine="720"/>
        <w:jc w:val="both"/>
        <w:rPr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Устойчивый рост количества ДТП с участием детей-пассажиров зарегистрирован с 11.00 до 17.00 (20 ДТП, 20 ранены). На 100% увеличилось количество аварий в пятницу (4 ДТП, 4 ранены) и на 33,3% в воскресенье (8 ДТП, 8 ранены). ДТП с погибшим ребенком зарегистрировано во вторник. </w:t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drawing>
          <wp:anchor behindDoc="0" distT="0" distB="0" distL="114300" distR="114300" simplePos="0" locked="0" layoutInCell="1" allowOverlap="1" relativeHeight="2">
            <wp:simplePos x="0" y="0"/>
            <wp:positionH relativeFrom="margin">
              <wp:posOffset>4749165</wp:posOffset>
            </wp:positionH>
            <wp:positionV relativeFrom="paragraph">
              <wp:posOffset>57150</wp:posOffset>
            </wp:positionV>
            <wp:extent cx="1333500" cy="1127760"/>
            <wp:effectExtent l="0" t="0" r="0" b="0"/>
            <wp:wrapSquare wrapText="bothSides"/>
            <wp:docPr id="12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4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 участием</w:t>
      </w:r>
      <w:r>
        <w:rPr>
          <w:b/>
          <w:i/>
          <w:sz w:val="28"/>
          <w:szCs w:val="28"/>
        </w:rPr>
        <w:t xml:space="preserve"> детей-пешеходов </w:t>
      </w:r>
      <w:r>
        <w:rPr>
          <w:sz w:val="28"/>
          <w:szCs w:val="28"/>
        </w:rPr>
        <w:t xml:space="preserve">зарегистрировано </w:t>
        <w:br/>
        <w:t>20 ДТП (19; +5,3%), в которых пострадали 20 (18; +11%) детей. От общего показателя аварийности с участием несовершеннолетних доля ДТП с участием детей- пешеходов составила 35%.</w:t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 20% (12) увеличилось количество ДТП по собственной неосторожности несовершеннолетних пешеходов, в этих авариях пострадали 12 детей (+20%).</w:t>
      </w:r>
    </w:p>
    <w:p>
      <w:pPr>
        <w:pStyle w:val="Normal"/>
        <w:ind w:left="-709" w:firstLine="720"/>
        <w:jc w:val="both"/>
        <w:rPr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70% наездов на детей (14) совершены на пешеходных переходах. В таких происшествиях травмированы 14 юных пешеходов (+27%). </w:t>
      </w:r>
    </w:p>
    <w:p>
      <w:pPr>
        <w:pStyle w:val="Normal"/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Количество происшествий с детьми-пешеходами в темное время суток увеличилось на 150% (5 ДТП, 5 ранены). Одним из сопутствующих факторов таких ДТП стало отсутствие на верхней одежде или рюкзаке ребенка световозвращающих элементов. </w:t>
      </w:r>
    </w:p>
    <w:p>
      <w:pPr>
        <w:pStyle w:val="Normal"/>
        <w:ind w:left="-709" w:firstLine="720"/>
        <w:jc w:val="both"/>
        <w:rPr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Участниками происшествий стали дети-пешеходы в возрасте 8-10 лет (10 ДТП, +200%), 11-12 лет (5 ДТП), 13-15 лет (4 ДТП), 5 лет (1 ДТП). Все наезды произошли в городах и населенных пунктах. Наибольшие показатели количества ДТП с участием детей-пешеходов зафиксированы во вторник (8 ДТП; + 166,7%), пятницу (4 ДТП, уровень АППГ) и субботу (3 ДТП; +100%). По 2 ДТП зарегистрировано в понедельник, четверг и 1 ДТП в среду. </w:t>
      </w:r>
      <w:r>
        <w:rPr>
          <w:sz w:val="28"/>
          <w:szCs w:val="28"/>
        </w:rPr>
        <w:t>По времени совершения рост дорожных аварий зафиксирован в период с 11 до 13 часов (5 ДТП; +100%) и с 21 до 22 часов (3 ДТП; +200%).</w:t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>В 8 случаях ДТП (40%) произошли по маршрутам следования детей из дома в образовательную организацию и обратно. Данные участки входят в паспорта дорожной безопасности образовательных организаций (не более 800 метров от образовательной организации). ДТП зарегистрированы вблизи ДОУ № 191, 206, МБОУ СОШ №35 г. Нижний Тагил, МАОУ СОШ №14 г. Верхняя Салда, МБОУ Гимназия № 5 (здание на ул. Хохрякова, 28а), МАОУ Лицей № 12, МАОУ СОШ № 62 г. Екатеринбург.</w:t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участием </w:t>
      </w:r>
      <w:r>
        <w:rPr>
          <w:b/>
          <w:i/>
          <w:sz w:val="28"/>
          <w:szCs w:val="28"/>
        </w:rPr>
        <w:t>юных водителей мототранспорта</w:t>
      </w:r>
      <w:r>
        <w:rPr>
          <w:sz w:val="28"/>
          <w:szCs w:val="28"/>
        </w:rPr>
        <w:t xml:space="preserve"> зарегистрировано 2 ДТП (+100%), в результате которого травмированы 2 ребенка (+100%). </w:t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участием </w:t>
      </w:r>
      <w:r>
        <w:rPr>
          <w:b/>
          <w:i/>
          <w:sz w:val="28"/>
          <w:szCs w:val="28"/>
        </w:rPr>
        <w:t>юных велосипедистов</w:t>
      </w:r>
      <w:r>
        <w:rPr>
          <w:sz w:val="28"/>
          <w:szCs w:val="28"/>
        </w:rPr>
        <w:t xml:space="preserve"> зарегистрировано 1 ДТП (+100%), в результате которого травмирован 1 ребенок (+100%). Авария зарегистрирована в Каменске-Уральском. </w:t>
      </w:r>
    </w:p>
    <w:p>
      <w:pPr>
        <w:pStyle w:val="Normal"/>
        <w:ind w:left="-709" w:firstLine="720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ind w:left="-709" w:hanging="0"/>
        <w:jc w:val="center"/>
        <w:rPr>
          <w:color w:val="000000" w:themeColor="text1"/>
          <w:sz w:val="28"/>
          <w:szCs w:val="28"/>
        </w:rPr>
      </w:pPr>
      <w:r>
        <w:rPr/>
        <w:drawing>
          <wp:inline distT="0" distB="0" distL="0" distR="0">
            <wp:extent cx="5800725" cy="2305050"/>
            <wp:effectExtent l="0" t="0" r="0" b="0"/>
            <wp:docPr id="13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>
      <w:pPr>
        <w:pStyle w:val="Normal"/>
        <w:ind w:left="-709" w:firstLine="720"/>
        <w:jc w:val="both"/>
        <w:rPr>
          <w:color w:val="0D0D0D" w:themeColor="text1" w:themeTint="f2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Вина несовершеннолетних усматривается в 12 ДТП из 57 и составляет 21% от </w:t>
      </w:r>
      <w:r>
        <w:rPr>
          <w:color w:val="0D0D0D" w:themeColor="text1" w:themeTint="f2"/>
          <w:sz w:val="28"/>
          <w:szCs w:val="28"/>
        </w:rPr>
        <w:t xml:space="preserve">общего количества дорожных аварий с участием детей: Екатеринбург </w:t>
        <w:br/>
        <w:t>7 (+75%), Нижний Тагил 4 (+100%) и Сысерть 1 (-50%). Основными нарушениями ПДД РФ, допущенными юными пешеходами, стали переход проезжей части в неустановленном месте, в зоне видимости пешеходного перехода (6) и неподчинение сигналам регулирования (6).</w:t>
      </w:r>
    </w:p>
    <w:p>
      <w:pPr>
        <w:pStyle w:val="Normal"/>
        <w:ind w:left="-709" w:firstLine="720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ind w:left="-709" w:hanging="0"/>
        <w:jc w:val="both"/>
        <w:rPr>
          <w:color w:val="FF0000"/>
          <w:sz w:val="28"/>
          <w:szCs w:val="28"/>
        </w:rPr>
      </w:pPr>
      <w:r>
        <w:rPr/>
        <w:drawing>
          <wp:inline distT="0" distB="0" distL="0" distR="0">
            <wp:extent cx="6496050" cy="1781175"/>
            <wp:effectExtent l="0" t="0" r="0" b="0"/>
            <wp:docPr id="14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>
      <w:pPr>
        <w:pStyle w:val="Normal"/>
        <w:ind w:left="-709" w:firstLine="720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/>
      </w:r>
    </w:p>
    <w:sectPr>
      <w:headerReference w:type="default" r:id="rId16"/>
      <w:type w:val="nextPage"/>
      <w:pgSz w:w="11906" w:h="16838"/>
      <w:pgMar w:left="1701" w:right="566" w:header="708" w:top="851" w:footer="0" w:bottom="426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default"/>
  </w:font>
  <w:font w:name="Times New Roman">
    <w:charset w:val="01"/>
    <w:family w:val="swiss"/>
    <w:pitch w:val="default"/>
  </w:font>
  <w:font w:name="Segoe UI">
    <w:charset w:val="01"/>
    <w:family w:val="swiss"/>
    <w:pitch w:val="default"/>
  </w:font>
  <w:font w:name="PT Sans">
    <w:charset w:val="01"/>
    <w:family w:val="swiss"/>
    <w:pitch w:val="default"/>
  </w:font>
  <w:font w:name="SchoolBook">
    <w:charset w:val="01"/>
    <w:family w:val="swiss"/>
    <w:pitch w:val="default"/>
  </w:font>
  <w:font w:name="Arial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970453342"/>
    </w:sdtPr>
    <w:sdtContent>
      <w:p>
        <w:pPr>
          <w:pStyle w:val="Style27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  <w:p>
    <w:pPr>
      <w:pStyle w:val="Style27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f785c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 Знак"/>
    <w:basedOn w:val="DefaultParagraphFont"/>
    <w:link w:val="a4"/>
    <w:qFormat/>
    <w:rsid w:val="00ed32fc"/>
    <w:rPr>
      <w:rFonts w:ascii="Times New Roman" w:hAnsi="Times New Roman" w:eastAsia="Times New Roman" w:cs="Times New Roman"/>
      <w:b/>
      <w:bCs/>
      <w:i/>
      <w:iCs/>
      <w:sz w:val="26"/>
      <w:szCs w:val="26"/>
      <w:lang w:eastAsia="ru-RU"/>
    </w:rPr>
  </w:style>
  <w:style w:type="character" w:styleId="Style15" w:customStyle="1">
    <w:name w:val="Текст выноски Знак"/>
    <w:basedOn w:val="DefaultParagraphFont"/>
    <w:link w:val="a6"/>
    <w:uiPriority w:val="99"/>
    <w:semiHidden/>
    <w:qFormat/>
    <w:rsid w:val="00627155"/>
    <w:rPr>
      <w:rFonts w:ascii="Segoe UI" w:hAnsi="Segoe UI" w:eastAsia="Times New Roman" w:cs="Segoe UI"/>
      <w:sz w:val="18"/>
      <w:szCs w:val="18"/>
      <w:lang w:eastAsia="ru-RU"/>
    </w:rPr>
  </w:style>
  <w:style w:type="character" w:styleId="Style16" w:customStyle="1">
    <w:name w:val="Текст сноски Знак"/>
    <w:basedOn w:val="DefaultParagraphFont"/>
    <w:link w:val="a8"/>
    <w:semiHidden/>
    <w:qFormat/>
    <w:rsid w:val="00874a5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7">
    <w:name w:val="Привязка сноски"/>
    <w:rPr>
      <w:vertAlign w:val="superscript"/>
    </w:rPr>
  </w:style>
  <w:style w:type="character" w:styleId="FootnoteCharacters">
    <w:name w:val="Footnote Characters"/>
    <w:basedOn w:val="DefaultParagraphFont"/>
    <w:semiHidden/>
    <w:unhideWhenUsed/>
    <w:qFormat/>
    <w:rsid w:val="00874a55"/>
    <w:rPr>
      <w:vertAlign w:val="superscript"/>
    </w:rPr>
  </w:style>
  <w:style w:type="character" w:styleId="2" w:customStyle="1">
    <w:name w:val="Основной текст (2)_"/>
    <w:link w:val="21"/>
    <w:uiPriority w:val="99"/>
    <w:qFormat/>
    <w:rsid w:val="00df5b6b"/>
    <w:rPr>
      <w:sz w:val="28"/>
      <w:szCs w:val="28"/>
      <w:shd w:fill="FFFFFF" w:val="clear"/>
    </w:rPr>
  </w:style>
  <w:style w:type="character" w:styleId="Style18">
    <w:name w:val="Выделение"/>
    <w:qFormat/>
    <w:rsid w:val="00df5b6b"/>
    <w:rPr>
      <w:i/>
      <w:iCs/>
    </w:rPr>
  </w:style>
  <w:style w:type="character" w:styleId="Style19" w:customStyle="1">
    <w:name w:val="Верхний колонтитул Знак"/>
    <w:basedOn w:val="DefaultParagraphFont"/>
    <w:link w:val="ae"/>
    <w:uiPriority w:val="99"/>
    <w:qFormat/>
    <w:rsid w:val="006332cd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20" w:customStyle="1">
    <w:name w:val="Нижний колонтитул Знак"/>
    <w:basedOn w:val="DefaultParagraphFont"/>
    <w:link w:val="af0"/>
    <w:uiPriority w:val="99"/>
    <w:qFormat/>
    <w:rsid w:val="006332cd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ListLabel1">
    <w:name w:val="ListLabel 1"/>
    <w:qFormat/>
    <w:rPr>
      <w:color w:val="auto"/>
    </w:rPr>
  </w:style>
  <w:style w:type="character" w:styleId="ListLabel2">
    <w:name w:val="ListLabel 2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3">
    <w:name w:val="ListLabel 3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4">
    <w:name w:val="ListLabel 4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5">
    <w:name w:val="ListLabel 5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6">
    <w:name w:val="ListLabel 6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7">
    <w:name w:val="ListLabel 7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8">
    <w:name w:val="ListLabel 8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9">
    <w:name w:val="ListLabel 9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10">
    <w:name w:val="ListLabel 10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11">
    <w:name w:val="ListLabel 11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6"/>
      <w:u w:val="none"/>
    </w:rPr>
  </w:style>
  <w:style w:type="character" w:styleId="ListLabel12">
    <w:name w:val="ListLabel 12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13">
    <w:name w:val="ListLabel 13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14">
    <w:name w:val="ListLabel 14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15">
    <w:name w:val="ListLabel 15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16">
    <w:name w:val="ListLabel 16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17">
    <w:name w:val="ListLabel 17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18">
    <w:name w:val="ListLabel 18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19">
    <w:name w:val="ListLabel 19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paragraph" w:styleId="Style21">
    <w:name w:val="Заголовок"/>
    <w:basedOn w:val="Normal"/>
    <w:next w:val="Style22"/>
    <w:qFormat/>
    <w:pPr>
      <w:keepNext w:val="true"/>
      <w:spacing w:before="240" w:after="120"/>
    </w:pPr>
    <w:rPr>
      <w:rFonts w:ascii="PT Sans" w:hAnsi="PT Sans" w:eastAsia="Tahoma" w:cs="Noto Sans Devanagari"/>
      <w:sz w:val="28"/>
      <w:szCs w:val="28"/>
    </w:rPr>
  </w:style>
  <w:style w:type="paragraph" w:styleId="Style22">
    <w:name w:val="Body Text"/>
    <w:basedOn w:val="Normal"/>
    <w:link w:val="a5"/>
    <w:rsid w:val="00ed32fc"/>
    <w:pPr>
      <w:jc w:val="center"/>
    </w:pPr>
    <w:rPr>
      <w:b/>
      <w:bCs/>
      <w:i/>
      <w:iCs/>
      <w:sz w:val="26"/>
      <w:szCs w:val="26"/>
    </w:rPr>
  </w:style>
  <w:style w:type="paragraph" w:styleId="Style23">
    <w:name w:val="List"/>
    <w:basedOn w:val="Style22"/>
    <w:pPr/>
    <w:rPr>
      <w:rFonts w:ascii="PT Sans" w:hAnsi="PT Sans" w:cs="Noto Sans Devanagari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ascii="PT Sans" w:hAnsi="PT Sans" w:cs="Noto Sans Devanagari"/>
    </w:rPr>
  </w:style>
  <w:style w:type="paragraph" w:styleId="NoSpacing">
    <w:name w:val="No Spacing"/>
    <w:uiPriority w:val="1"/>
    <w:qFormat/>
    <w:rsid w:val="00bf785c"/>
    <w:pPr>
      <w:widowControl/>
      <w:bidi w:val="0"/>
      <w:spacing w:lineRule="auto" w:line="240" w:before="0" w:after="0"/>
      <w:jc w:val="left"/>
    </w:pPr>
    <w:rPr>
      <w:rFonts w:ascii="SchoolBook" w:hAnsi="SchoolBook" w:eastAsia="Calibri" w:cs="Times New Roman" w:eastAsiaTheme="minorHAnsi"/>
      <w:color w:val="auto"/>
      <w:kern w:val="0"/>
      <w:sz w:val="28"/>
      <w:szCs w:val="28"/>
      <w:lang w:val="ru-RU" w:eastAsia="en-US" w:bidi="ar-SA"/>
    </w:rPr>
  </w:style>
  <w:style w:type="paragraph" w:styleId="Default" w:customStyle="1">
    <w:name w:val="Default"/>
    <w:qFormat/>
    <w:rsid w:val="00ed32fc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ru-RU" w:val="ru-RU" w:bidi="ar-SA"/>
    </w:rPr>
  </w:style>
  <w:style w:type="paragraph" w:styleId="BalloonText">
    <w:name w:val="Balloon Text"/>
    <w:basedOn w:val="Normal"/>
    <w:link w:val="a7"/>
    <w:uiPriority w:val="99"/>
    <w:semiHidden/>
    <w:unhideWhenUsed/>
    <w:qFormat/>
    <w:rsid w:val="00627155"/>
    <w:pPr/>
    <w:rPr>
      <w:rFonts w:ascii="Segoe UI" w:hAnsi="Segoe UI" w:cs="Segoe UI"/>
      <w:sz w:val="18"/>
      <w:szCs w:val="18"/>
    </w:rPr>
  </w:style>
  <w:style w:type="paragraph" w:styleId="Style26">
    <w:name w:val="Footnote Text"/>
    <w:basedOn w:val="Normal"/>
    <w:link w:val="a9"/>
    <w:semiHidden/>
    <w:unhideWhenUsed/>
    <w:rsid w:val="00874a55"/>
    <w:pPr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7a6682"/>
    <w:pPr>
      <w:spacing w:before="0" w:after="0"/>
      <w:ind w:left="720" w:hanging="0"/>
      <w:contextualSpacing/>
    </w:pPr>
    <w:rPr/>
  </w:style>
  <w:style w:type="paragraph" w:styleId="21" w:customStyle="1">
    <w:name w:val="Основной текст (2)1"/>
    <w:basedOn w:val="Normal"/>
    <w:link w:val="2"/>
    <w:uiPriority w:val="99"/>
    <w:qFormat/>
    <w:rsid w:val="00df5b6b"/>
    <w:pPr>
      <w:widowControl w:val="false"/>
      <w:shd w:val="clear" w:color="auto" w:fill="FFFFFF"/>
      <w:spacing w:lineRule="exact" w:line="322"/>
    </w:pPr>
    <w:rPr>
      <w:rFonts w:ascii="Calibri" w:hAnsi="Calibri" w:eastAsia="Calibri" w:cs="" w:asciiTheme="minorHAnsi" w:cstheme="minorBidi" w:eastAsiaTheme="minorHAnsi" w:hAnsiTheme="minorHAnsi"/>
      <w:sz w:val="28"/>
      <w:szCs w:val="28"/>
      <w:lang w:eastAsia="en-US"/>
    </w:rPr>
  </w:style>
  <w:style w:type="paragraph" w:styleId="Style27">
    <w:name w:val="Header"/>
    <w:basedOn w:val="Normal"/>
    <w:link w:val="af"/>
    <w:uiPriority w:val="99"/>
    <w:unhideWhenUsed/>
    <w:rsid w:val="006332cd"/>
    <w:pPr>
      <w:tabs>
        <w:tab w:val="center" w:pos="4677" w:leader="none"/>
        <w:tab w:val="right" w:pos="9355" w:leader="none"/>
      </w:tabs>
    </w:pPr>
    <w:rPr/>
  </w:style>
  <w:style w:type="paragraph" w:styleId="Style28">
    <w:name w:val="Footer"/>
    <w:basedOn w:val="Normal"/>
    <w:link w:val="af1"/>
    <w:uiPriority w:val="99"/>
    <w:unhideWhenUsed/>
    <w:rsid w:val="006332cd"/>
    <w:pPr>
      <w:tabs>
        <w:tab w:val="center" w:pos="4677" w:leader="none"/>
        <w:tab w:val="right" w:pos="9355" w:leader="none"/>
      </w:tabs>
    </w:pPr>
    <w:rPr/>
  </w:style>
  <w:style w:type="paragraph" w:styleId="ConsPlusNormal" w:customStyle="1">
    <w:name w:val="ConsPlusNormal"/>
    <w:qFormat/>
    <w:rsid w:val="00b37053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hart" Target="charts/chart1.xml"/><Relationship Id="rId3" Type="http://schemas.openxmlformats.org/officeDocument/2006/relationships/chart" Target="charts/chart2.xml"/><Relationship Id="rId4" Type="http://schemas.openxmlformats.org/officeDocument/2006/relationships/chart" Target="charts/chart3.xml"/><Relationship Id="rId5" Type="http://schemas.openxmlformats.org/officeDocument/2006/relationships/chart" Target="charts/chart4.xml"/><Relationship Id="rId6" Type="http://schemas.openxmlformats.org/officeDocument/2006/relationships/chart" Target="charts/chart5.xml"/><Relationship Id="rId7" Type="http://schemas.openxmlformats.org/officeDocument/2006/relationships/chart" Target="charts/chart6.xml"/><Relationship Id="rId8" Type="http://schemas.openxmlformats.org/officeDocument/2006/relationships/chart" Target="charts/chart7.xml"/><Relationship Id="rId9" Type="http://schemas.openxmlformats.org/officeDocument/2006/relationships/chart" Target="charts/chart8.xml"/><Relationship Id="rId10" Type="http://schemas.openxmlformats.org/officeDocument/2006/relationships/chart" Target="charts/chart9.xml"/><Relationship Id="rId11" Type="http://schemas.openxmlformats.org/officeDocument/2006/relationships/image" Target="media/image1.jpeg"/><Relationship Id="rId12" Type="http://schemas.openxmlformats.org/officeDocument/2006/relationships/chart" Target="charts/chart10.xml"/><Relationship Id="rId13" Type="http://schemas.openxmlformats.org/officeDocument/2006/relationships/image" Target="media/image2.jpeg"/><Relationship Id="rId14" Type="http://schemas.openxmlformats.org/officeDocument/2006/relationships/chart" Target="charts/chart11.xml"/><Relationship Id="rId15" Type="http://schemas.openxmlformats.org/officeDocument/2006/relationships/chart" Target="charts/chart12.xml"/><Relationship Id="rId16" Type="http://schemas.openxmlformats.org/officeDocument/2006/relationships/header" Target="header1.xml"/><Relationship Id="rId17" Type="http://schemas.openxmlformats.org/officeDocument/2006/relationships/fontTable" Target="fontTable.xml"/><Relationship Id="rId18" Type="http://schemas.openxmlformats.org/officeDocument/2006/relationships/settings" Target="settings.xml"/><Relationship Id="rId19" Type="http://schemas.openxmlformats.org/officeDocument/2006/relationships/theme" Target="theme/theme1.xml"/><Relationship Id="rId20" Type="http://schemas.openxmlformats.org/officeDocument/2006/relationships/customXml" Target="../customXml/item1.xml"/>
</Relationships>
</file>

<file path=word/charts/_rels/chart1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1.xlsx"/>
</Relationships>
</file>

<file path=word/charts/_rels/chart10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10.xlsx"/>
</Relationships>
</file>

<file path=word/charts/_rels/chart11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11.xlsx"/>
</Relationships>
</file>

<file path=word/charts/_rels/chart12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12.xlsx"/>
</Relationships>
</file>

<file path=word/charts/_rels/chart2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2.xlsx"/>
</Relationships>
</file>

<file path=word/charts/_rels/chart3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3.xlsx"/>
</Relationships>
</file>

<file path=word/charts/_rels/chart4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4.xlsx"/>
</Relationships>
</file>

<file path=word/charts/_rels/chart5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5.xlsx"/>
</Relationships>
</file>

<file path=word/charts/_rels/chart6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6.xlsx"/>
</Relationships>
</file>

<file path=word/charts/_rels/chart7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7.xlsx"/>
</Relationships>
</file>

<file path=word/charts/_rels/chart8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8.xlsx"/>
</Relationships>
</file>

<file path=word/charts/_rels/chart9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9.xlsx"/>
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view3D>
      <c:rotX val="15"/>
      <c:rotY val="20"/>
      <c:rAngAx val="1"/>
      <c:perspective val="30"/>
    </c:view3D>
    <c:floor>
      <c:spPr>
        <a:noFill/>
        <a:ln w="6480">
          <a:noFill/>
        </a:ln>
      </c:spPr>
    </c:floor>
    <c:sideWall>
      <c:spPr>
        <a:noFill/>
        <a:ln w="6480">
          <a:noFill/>
        </a:ln>
      </c:spPr>
    </c:sideWall>
    <c:backWall>
      <c:spPr>
        <a:noFill/>
        <a:ln w="6480">
          <a:noFill/>
        </a:ln>
      </c:spPr>
    </c:backWall>
    <c:plotArea>
      <c:bar3D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</c:spPr>
          <c:invertIfNegative val="0"/>
          <c:dLbls>
            <c:numFmt formatCode="General" sourceLinked="1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3"/>
                <c:pt idx="0">
                  <c:v>55</c:v>
                </c:pt>
                <c:pt idx="1">
                  <c:v>5</c:v>
                </c:pt>
                <c:pt idx="2">
                  <c:v>68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ed7d31"/>
            </a:solidFill>
            <a:ln>
              <a:noFill/>
            </a:ln>
          </c:spPr>
          <c:invertIfNegative val="0"/>
          <c:dLbls>
            <c:numFmt formatCode="General" sourceLinked="1"/>
            <c:dLbl>
              <c:idx val="0"/>
              <c:showLegendKey val="0"/>
              <c:showVal val="1"/>
              <c:showCatName val="0"/>
              <c:showSerName val="0"/>
              <c:showPercent val="0"/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</c:dLbl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3"/>
                <c:pt idx="0">
                  <c:v>57</c:v>
                </c:pt>
                <c:pt idx="1">
                  <c:v>1</c:v>
                </c:pt>
                <c:pt idx="2">
                  <c:v>58</c:v>
                </c:pt>
              </c:numCache>
            </c:numRef>
          </c:val>
        </c:ser>
        <c:gapWidth val="150"/>
        <c:shape val="box"/>
        <c:axId val="57180380"/>
        <c:axId val="39035190"/>
        <c:axId val="0"/>
      </c:bar3DChart>
      <c:catAx>
        <c:axId val="57180380"/>
        <c:scaling>
          <c:orientation val="minMax"/>
        </c:scaling>
        <c:delete val="0"/>
        <c:axPos val="b"/>
        <c:numFmt formatCode="DD/MM/YYYY" sourceLinked="1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39035190"/>
        <c:crosses val="autoZero"/>
        <c:auto val="1"/>
        <c:lblAlgn val="ctr"/>
        <c:lblOffset val="100"/>
      </c:catAx>
      <c:valAx>
        <c:axId val="39035190"/>
        <c:scaling>
          <c:orientation val="minMax"/>
        </c:scaling>
        <c:delete val="0"/>
        <c:axPos val="l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General" sourceLinked="0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57180380"/>
        <c:crosses val="autoZero"/>
      </c:valAx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b="0" sz="900" spc="-1" strike="noStrike">
              <a:solidFill>
                <a:srgbClr val="595959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400" spc="-1" strike="noStrike">
                <a:solidFill>
                  <a:srgbClr val="595959"/>
                </a:solidFill>
                <a:latin typeface="Calibri"/>
              </a:defRPr>
            </a:pPr>
            <a:r>
              <a:rPr b="0" sz="1400" spc="-1" strike="noStrike">
                <a:solidFill>
                  <a:srgbClr val="595959"/>
                </a:solidFill>
                <a:latin typeface="Calibri"/>
              </a:rPr>
              <a:t>Пассажиры</a:t>
            </a:r>
          </a:p>
        </c:rich>
      </c:tx>
      <c:overlay val="0"/>
    </c:title>
    <c:autoTitleDeleted val="0"/>
    <c:plotArea>
      <c:doughnutChart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Пассажиры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</c:spPr>
          <c:explosion val="0"/>
          <c:dPt>
            <c:idx val="0"/>
            <c:spPr>
              <a:solidFill>
                <a:srgbClr val="c00000"/>
              </a:solidFill>
              <a:ln w="19080">
                <a:solidFill>
                  <a:srgbClr val="ffffff"/>
                </a:solidFill>
                <a:round/>
              </a:ln>
            </c:spPr>
          </c:dPt>
          <c:dPt>
            <c:idx val="1"/>
            <c:spPr>
              <a:solidFill>
                <a:srgbClr val="ffc000"/>
              </a:solidFill>
              <a:ln w="19080">
                <a:solidFill>
                  <a:srgbClr val="ffffff"/>
                </a:solidFill>
                <a:round/>
              </a:ln>
            </c:spPr>
          </c:dPt>
          <c:dLbls>
            <c:numFmt formatCode="General" sourceLinked="1"/>
            <c:dLbl>
              <c:idx val="0"/>
              <c:showLegendKey val="0"/>
              <c:showVal val="0"/>
              <c:showCatName val="0"/>
              <c:showSerName val="0"/>
              <c:showPercent val="1"/>
            </c:dLbl>
            <c:dLbl>
              <c:idx val="1"/>
              <c:showLegendKey val="0"/>
              <c:showVal val="0"/>
              <c:showCatName val="0"/>
              <c:showSerName val="0"/>
              <c:showPercent val="1"/>
            </c:dLbl>
            <c:showLegendKey val="0"/>
            <c:showVal val="0"/>
            <c:showCatName val="0"/>
            <c:showSerName val="0"/>
            <c:showPercent val="1"/>
            <c:showLeaderLines val="0"/>
          </c:dLbls>
          <c:cat>
            <c:strRef>
              <c:f>categories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2"/>
                <c:pt idx="0">
                  <c:v>4</c:v>
                </c:pt>
                <c:pt idx="1">
                  <c:v>25</c:v>
                </c:pt>
              </c:numCache>
            </c:numRef>
          </c:val>
        </c:ser>
        <c:firstSliceAng val="0"/>
        <c:holeSize val="50"/>
      </c:doughnutChart>
      <c:spPr>
        <a:noFill/>
        <a:ln>
          <a:noFill/>
        </a:ln>
      </c:spPr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b="0" sz="900" spc="-1" strike="noStrike">
              <a:solidFill>
                <a:srgbClr val="595959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400" spc="-1" strike="noStrike">
                <a:solidFill>
                  <a:srgbClr val="595959"/>
                </a:solidFill>
                <a:latin typeface="Calibri"/>
              </a:defRPr>
            </a:pPr>
            <a:r>
              <a:rPr b="0" sz="1400" spc="-1" strike="noStrike">
                <a:solidFill>
                  <a:srgbClr val="595959"/>
                </a:solidFill>
                <a:latin typeface="Calibri"/>
              </a:rPr>
              <a:t>ДТП по категориям участников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spPr>
        <a:solidFill>
          <a:srgbClr val="d9d9d9"/>
        </a:solidFill>
        <a:ln>
          <a:noFill/>
        </a:ln>
      </c:spPr>
    </c:floor>
    <c:sideWall>
      <c:spPr>
        <a:solidFill>
          <a:srgbClr val="d9d9d9"/>
        </a:solidFill>
        <a:ln>
          <a:noFill/>
        </a:ln>
      </c:spPr>
    </c:sideWall>
    <c:backWall>
      <c:spPr>
        <a:solidFill>
          <a:srgbClr val="d9d9d9"/>
        </a:solidFill>
        <a:ln>
          <a:noFill/>
        </a:ln>
      </c:spPr>
    </c:backWall>
    <c:plotArea>
      <c:pie3DChart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</c:spPr>
          <c:explosion val="0"/>
          <c:dPt>
            <c:idx val="0"/>
            <c:spPr>
              <a:solidFill>
                <a:srgbClr val="5b9bd5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1"/>
            <c:spPr>
              <a:solidFill>
                <a:srgbClr val="ed7d31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2"/>
            <c:spPr>
              <a:solidFill>
                <a:srgbClr val="a5a5a5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3"/>
            <c:spPr>
              <a:solidFill>
                <a:srgbClr val="ffc000"/>
              </a:solidFill>
              <a:ln w="25560">
                <a:solidFill>
                  <a:srgbClr val="ffffff"/>
                </a:solidFill>
                <a:round/>
              </a:ln>
            </c:spPr>
          </c:dPt>
          <c:dLbls>
            <c:numFmt formatCode="General" sourceLinked="1"/>
            <c:dLbl>
              <c:idx val="0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1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2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3"/>
              <c:dLblPos val="bestFit"/>
              <c:showLegendKey val="0"/>
              <c:showVal val="1"/>
              <c:showCatName val="1"/>
              <c:showSerName val="0"/>
              <c:showPercent val="0"/>
            </c:dLbl>
            <c:dLblPos val="bestFit"/>
            <c:showLegendKey val="0"/>
            <c:showVal val="1"/>
            <c:showCatName val="1"/>
            <c:showSerName val="0"/>
            <c:showPercent val="0"/>
            <c:showLeaderLines val="0"/>
          </c:dLbls>
          <c:cat>
            <c:strRef>
              <c:f>categories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4"/>
                <c:pt idx="0">
                  <c:v>34</c:v>
                </c:pt>
                <c:pt idx="1">
                  <c:v>20</c:v>
                </c:pt>
                <c:pt idx="2">
                  <c:v>1</c:v>
                </c:pt>
                <c:pt idx="3">
                  <c:v>2</c:v>
                </c:pt>
              </c:numCache>
            </c:numRef>
          </c:val>
        </c:ser>
      </c:pie3DChart>
    </c:plotArea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400" spc="-1" strike="noStrike">
                <a:solidFill>
                  <a:srgbClr val="595959"/>
                </a:solidFill>
                <a:latin typeface="Calibri"/>
              </a:defRPr>
            </a:pPr>
            <a:r>
              <a:rPr b="0" sz="1400" spc="-1" strike="noStrike">
                <a:solidFill>
                  <a:srgbClr val="595959"/>
                </a:solidFill>
                <a:latin typeface="Calibri"/>
              </a:rPr>
              <a:t>ДТП по собственной неосторожности детей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spPr>
        <a:solidFill>
          <a:srgbClr val="d9d9d9"/>
        </a:solidFill>
        <a:ln>
          <a:noFill/>
        </a:ln>
      </c:spPr>
    </c:floor>
    <c:sideWall>
      <c:spPr>
        <a:solidFill>
          <a:srgbClr val="d9d9d9"/>
        </a:solidFill>
        <a:ln>
          <a:noFill/>
        </a:ln>
      </c:spPr>
    </c:sideWall>
    <c:backWall>
      <c:spPr>
        <a:solidFill>
          <a:srgbClr val="d9d9d9"/>
        </a:solidFill>
        <a:ln>
          <a:noFill/>
        </a:ln>
      </c:spPr>
    </c:backWall>
    <c:plotArea>
      <c:pie3DChart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</c:spPr>
          <c:explosion val="0"/>
          <c:dPt>
            <c:idx val="0"/>
            <c:spPr>
              <a:solidFill>
                <a:srgbClr val="5b9bd5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1"/>
            <c:spPr>
              <a:solidFill>
                <a:srgbClr val="ed7d31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2"/>
            <c:spPr>
              <a:solidFill>
                <a:srgbClr val="a5a5a5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3"/>
            <c:spPr>
              <a:solidFill>
                <a:srgbClr val="ffc000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4"/>
            <c:spPr>
              <a:solidFill>
                <a:srgbClr val="4472c4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5"/>
            <c:spPr>
              <a:solidFill>
                <a:srgbClr val="70ad47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6"/>
            <c:spPr>
              <a:solidFill>
                <a:srgbClr val="255e91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7"/>
            <c:spPr>
              <a:solidFill>
                <a:srgbClr val="9e480e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8"/>
            <c:spPr>
              <a:solidFill>
                <a:srgbClr val="636363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9"/>
            <c:spPr>
              <a:solidFill>
                <a:srgbClr val="997300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10"/>
            <c:spPr>
              <a:solidFill>
                <a:srgbClr val="264478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11"/>
            <c:spPr>
              <a:solidFill>
                <a:srgbClr val="43682b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12"/>
            <c:spPr>
              <a:solidFill>
                <a:srgbClr val="ffd966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13"/>
            <c:spPr>
              <a:solidFill>
                <a:srgbClr val="f1975a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14"/>
            <c:spPr>
              <a:solidFill>
                <a:srgbClr val="b7b7b7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15"/>
            <c:spPr>
              <a:solidFill>
                <a:srgbClr val="ffcd33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16"/>
            <c:spPr>
              <a:solidFill>
                <a:srgbClr val="698ed0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17"/>
            <c:spPr>
              <a:solidFill>
                <a:srgbClr val="8cc168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18"/>
            <c:spPr>
              <a:solidFill>
                <a:srgbClr val="327dc2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19"/>
            <c:spPr>
              <a:solidFill>
                <a:srgbClr val="ff0000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20"/>
            <c:spPr>
              <a:solidFill>
                <a:srgbClr val="c5e0b4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21"/>
            <c:spPr>
              <a:solidFill>
                <a:srgbClr val="cc9a00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22"/>
            <c:spPr>
              <a:solidFill>
                <a:srgbClr val="335aa1"/>
              </a:solidFill>
              <a:ln w="25560">
                <a:solidFill>
                  <a:srgbClr val="ffffff"/>
                </a:solidFill>
                <a:round/>
              </a:ln>
            </c:spPr>
          </c:dPt>
          <c:dLbls>
            <c:numFmt formatCode="General" sourceLinked="1"/>
            <c:dLbl>
              <c:idx val="0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1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2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3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4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5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6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7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8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9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10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11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12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13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14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15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16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17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18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19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20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21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22"/>
              <c:dLblPos val="bestFit"/>
              <c:showLegendKey val="0"/>
              <c:showVal val="1"/>
              <c:showCatName val="1"/>
              <c:showSerName val="0"/>
              <c:showPercent val="0"/>
            </c:dLbl>
            <c:dLblPos val="bestFit"/>
            <c:showLegendKey val="0"/>
            <c:showVal val="1"/>
            <c:showCatName val="1"/>
            <c:showSerName val="0"/>
            <c:showPercent val="0"/>
            <c:showLeaderLines val="0"/>
          </c:dLbls>
          <c:cat>
            <c:strRef>
              <c:f>categories</c:f>
              <c:strCache>
                <c:ptCount val="23"/>
                <c:pt idx="0">
                  <c:v>Красноуфимск</c:v>
                </c:pt>
                <c:pt idx="1">
                  <c:v>Шаля</c:v>
                </c:pt>
                <c:pt idx="2">
                  <c:v>Тугулым</c:v>
                </c:pt>
                <c:pt idx="3">
                  <c:v>Талица</c:v>
                </c:pt>
                <c:pt idx="4">
                  <c:v>Сухой Лог</c:v>
                </c:pt>
                <c:pt idx="5">
                  <c:v>Серов</c:v>
                </c:pt>
                <c:pt idx="6">
                  <c:v>Североуральск</c:v>
                </c:pt>
                <c:pt idx="7">
                  <c:v>Полевской</c:v>
                </c:pt>
                <c:pt idx="8">
                  <c:v>Нижние Серги</c:v>
                </c:pt>
                <c:pt idx="9">
                  <c:v>Верхняя Салда</c:v>
                </c:pt>
                <c:pt idx="10">
                  <c:v>Богданович</c:v>
                </c:pt>
                <c:pt idx="11">
                  <c:v>Туринск</c:v>
                </c:pt>
                <c:pt idx="12">
                  <c:v>Сысерть</c:v>
                </c:pt>
                <c:pt idx="13">
                  <c:v>Первоуральск</c:v>
                </c:pt>
                <c:pt idx="14">
                  <c:v>Байкалово</c:v>
                </c:pt>
                <c:pt idx="15">
                  <c:v>Каменск-Уральский</c:v>
                </c:pt>
                <c:pt idx="16">
                  <c:v>Реж</c:v>
                </c:pt>
                <c:pt idx="17">
                  <c:v>Березовский</c:v>
                </c:pt>
                <c:pt idx="18">
                  <c:v>Арти</c:v>
                </c:pt>
                <c:pt idx="19">
                  <c:v>Заречный</c:v>
                </c:pt>
                <c:pt idx="20">
                  <c:v>Нижний Тагил</c:v>
                </c:pt>
                <c:pt idx="21">
                  <c:v>Краснотурьинск</c:v>
                </c:pt>
                <c:pt idx="22">
                  <c:v>Екатеринбург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23"/>
                <c:pt idx="0">
                  <c:v/>
                </c:pt>
                <c:pt idx="1">
                  <c:v/>
                </c:pt>
                <c:pt idx="2">
                  <c:v/>
                </c:pt>
                <c:pt idx="3">
                  <c:v/>
                </c:pt>
                <c:pt idx="4">
                  <c:v/>
                </c:pt>
                <c:pt idx="5">
                  <c:v/>
                </c:pt>
                <c:pt idx="6">
                  <c:v/>
                </c:pt>
                <c:pt idx="7">
                  <c:v/>
                </c:pt>
                <c:pt idx="8">
                  <c:v/>
                </c:pt>
                <c:pt idx="9">
                  <c:v/>
                </c:pt>
                <c:pt idx="10">
                  <c:v/>
                </c:pt>
                <c:pt idx="11">
                  <c:v/>
                </c:pt>
                <c:pt idx="12">
                  <c:v>1</c:v>
                </c:pt>
                <c:pt idx="13">
                  <c:v/>
                </c:pt>
                <c:pt idx="14">
                  <c:v/>
                </c:pt>
                <c:pt idx="15">
                  <c:v/>
                </c:pt>
                <c:pt idx="16">
                  <c:v/>
                </c:pt>
                <c:pt idx="17">
                  <c:v/>
                </c:pt>
                <c:pt idx="18">
                  <c:v/>
                </c:pt>
                <c:pt idx="19">
                  <c:v/>
                </c:pt>
                <c:pt idx="20">
                  <c:v>4</c:v>
                </c:pt>
                <c:pt idx="21">
                  <c:v/>
                </c:pt>
                <c:pt idx="22">
                  <c:v>7</c:v>
                </c:pt>
              </c:numCache>
            </c:numRef>
          </c:val>
        </c:ser>
      </c:pie3DChart>
    </c:plotArea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200" spc="-1" strike="noStrike">
                <a:solidFill>
                  <a:srgbClr val="595959"/>
                </a:solidFill>
                <a:latin typeface="Calibri"/>
              </a:defRPr>
            </a:pPr>
            <a:r>
              <a:rPr b="0" sz="1200" spc="-1" strike="noStrike">
                <a:solidFill>
                  <a:srgbClr val="595959"/>
                </a:solidFill>
                <a:latin typeface="Calibri"/>
              </a:rPr>
              <a:t>Территории, где зарегистрирован рост ДТП</a:t>
            </a:r>
          </a:p>
        </c:rich>
      </c:tx>
      <c:overlay val="0"/>
    </c:title>
    <c:autoTitleDeleted val="0"/>
    <c:plotArea>
      <c:barChart>
        <c:barDir val="bar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ДТП 2022</c:v>
                </c:pt>
              </c:strCache>
            </c:strRef>
          </c:tx>
          <c:spPr>
            <a:solidFill>
              <a:srgbClr val="ed7d31"/>
            </a:solidFill>
            <a:ln w="19080">
              <a:solidFill>
                <a:srgbClr val="ffffff"/>
              </a:solidFill>
              <a:round/>
            </a:ln>
          </c:spPr>
          <c:invertIfNegative val="0"/>
          <c:dLbls>
            <c:numFmt formatCode="General" sourceLinked="1"/>
            <c:dLbl>
              <c:idx val="9"/>
              <c:dLblPos val="outEnd"/>
              <c:showLegendKey val="0"/>
              <c:showVal val="1"/>
              <c:showCatName val="0"/>
              <c:showSerName val="0"/>
              <c:showPercent val="0"/>
            </c:dLbl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10"/>
                <c:pt idx="0">
                  <c:v>Реж</c:v>
                </c:pt>
                <c:pt idx="1">
                  <c:v>Полевской</c:v>
                </c:pt>
                <c:pt idx="2">
                  <c:v>Первоуральск</c:v>
                </c:pt>
                <c:pt idx="3">
                  <c:v>Новоуральск</c:v>
                </c:pt>
                <c:pt idx="4">
                  <c:v>Нижний Тагил</c:v>
                </c:pt>
                <c:pt idx="5">
                  <c:v>Красноуральск</c:v>
                </c:pt>
                <c:pt idx="6">
                  <c:v>Екатеринбург</c:v>
                </c:pt>
                <c:pt idx="7">
                  <c:v>Верхняя Салда</c:v>
                </c:pt>
                <c:pt idx="8">
                  <c:v>Березовский</c:v>
                </c:pt>
                <c:pt idx="9">
                  <c:v>Байкалово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10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0</c:v>
                </c:pt>
                <c:pt idx="4">
                  <c:v>6</c:v>
                </c:pt>
                <c:pt idx="5">
                  <c:v>0</c:v>
                </c:pt>
                <c:pt idx="6">
                  <c:v>26</c:v>
                </c:pt>
                <c:pt idx="7">
                  <c:v>0</c:v>
                </c:pt>
                <c:pt idx="8">
                  <c:v>1</c:v>
                </c:pt>
                <c:pt idx="9">
                  <c:v>0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ДТП 2023</c:v>
                </c:pt>
              </c:strCache>
            </c:strRef>
          </c:tx>
          <c:spPr>
            <a:solidFill>
              <a:srgbClr val="ffc000"/>
            </a:solidFill>
            <a:ln w="19080">
              <a:solidFill>
                <a:srgbClr val="ffffff"/>
              </a:solidFill>
              <a:round/>
            </a:ln>
          </c:spPr>
          <c:invertIfNegative val="0"/>
          <c:dLbls>
            <c:numFmt formatCode="General" sourceLinked="1"/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10"/>
                <c:pt idx="0">
                  <c:v>Реж</c:v>
                </c:pt>
                <c:pt idx="1">
                  <c:v>Полевской</c:v>
                </c:pt>
                <c:pt idx="2">
                  <c:v>Первоуральск</c:v>
                </c:pt>
                <c:pt idx="3">
                  <c:v>Новоуральск</c:v>
                </c:pt>
                <c:pt idx="4">
                  <c:v>Нижний Тагил</c:v>
                </c:pt>
                <c:pt idx="5">
                  <c:v>Красноуральск</c:v>
                </c:pt>
                <c:pt idx="6">
                  <c:v>Екатеринбург</c:v>
                </c:pt>
                <c:pt idx="7">
                  <c:v>Верхняя Салда</c:v>
                </c:pt>
                <c:pt idx="8">
                  <c:v>Березовский</c:v>
                </c:pt>
                <c:pt idx="9">
                  <c:v>Байкалово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1</c:v>
                </c:pt>
                <c:pt idx="4">
                  <c:v>11</c:v>
                </c:pt>
                <c:pt idx="5">
                  <c:v>1</c:v>
                </c:pt>
                <c:pt idx="6">
                  <c:v>27</c:v>
                </c:pt>
                <c:pt idx="7">
                  <c:v>1</c:v>
                </c:pt>
                <c:pt idx="8">
                  <c:v>4</c:v>
                </c:pt>
                <c:pt idx="9">
                  <c:v>1</c:v>
                </c:pt>
              </c:numCache>
            </c:numRef>
          </c:val>
        </c:ser>
        <c:gapWidth val="100"/>
        <c:overlap val="0"/>
        <c:axId val="74869868"/>
        <c:axId val="21761115"/>
      </c:barChart>
      <c:catAx>
        <c:axId val="74869868"/>
        <c:scaling>
          <c:orientation val="minMax"/>
        </c:scaling>
        <c:delete val="0"/>
        <c:axPos val="b"/>
        <c:numFmt formatCode="DD/MM/YYYY" sourceLinked="1"/>
        <c:majorTickMark val="out"/>
        <c:minorTickMark val="none"/>
        <c:tickLblPos val="nextTo"/>
        <c:spPr>
          <a:ln w="9360">
            <a:solidFill>
              <a:srgbClr val="d9d9d9"/>
            </a:solidFill>
            <a:round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21761115"/>
        <c:crosses val="autoZero"/>
        <c:auto val="1"/>
        <c:lblAlgn val="ctr"/>
        <c:lblOffset val="100"/>
      </c:catAx>
      <c:valAx>
        <c:axId val="21761115"/>
        <c:scaling>
          <c:orientation val="minMax"/>
        </c:scaling>
        <c:delete val="0"/>
        <c:axPos val="l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General" sourceLinked="0"/>
        <c:majorTickMark val="out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74869868"/>
        <c:crosses val="autoZero"/>
      </c:valAx>
      <c:spPr>
        <a:noFill/>
        <a:ln>
          <a:noFill/>
        </a:ln>
      </c:spPr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b="0" sz="900" spc="-1" strike="noStrike">
              <a:solidFill>
                <a:srgbClr val="595959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200" spc="-1" strike="noStrike">
                <a:solidFill>
                  <a:srgbClr val="595959"/>
                </a:solidFill>
                <a:latin typeface="Calibri"/>
              </a:defRPr>
            </a:pPr>
            <a:r>
              <a:rPr b="0" sz="1200" spc="-1" strike="noStrike">
                <a:solidFill>
                  <a:srgbClr val="595959"/>
                </a:solidFill>
                <a:latin typeface="Calibri"/>
              </a:rPr>
              <a:t>Распределение пострадавших и погибших детей по возрастным группам</a:t>
            </a:r>
          </a:p>
        </c:rich>
      </c:tx>
      <c:overlay val="0"/>
    </c:title>
    <c:autoTitleDeleted val="0"/>
    <c:plotArea>
      <c:pieChart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</c:spPr>
          <c:explosion val="0"/>
          <c:dPt>
            <c:idx val="0"/>
            <c:spPr>
              <a:solidFill>
                <a:srgbClr val="ed7d31"/>
              </a:solidFill>
              <a:ln w="19080">
                <a:solidFill>
                  <a:srgbClr val="ffffff"/>
                </a:solidFill>
                <a:round/>
              </a:ln>
            </c:spPr>
          </c:dPt>
          <c:dPt>
            <c:idx val="1"/>
            <c:spPr>
              <a:solidFill>
                <a:srgbClr val="ffc000"/>
              </a:solidFill>
              <a:ln w="19080">
                <a:solidFill>
                  <a:srgbClr val="ffffff"/>
                </a:solidFill>
                <a:round/>
              </a:ln>
            </c:spPr>
          </c:dPt>
          <c:dPt>
            <c:idx val="2"/>
            <c:spPr>
              <a:solidFill>
                <a:srgbClr val="70ad47"/>
              </a:solidFill>
              <a:ln w="19080">
                <a:solidFill>
                  <a:srgbClr val="ffffff"/>
                </a:solidFill>
                <a:round/>
              </a:ln>
            </c:spPr>
          </c:dPt>
          <c:dLbls>
            <c:numFmt formatCode="General" sourceLinked="1"/>
            <c:dLbl>
              <c:idx val="0"/>
              <c:dLblPos val="bestFit"/>
              <c:showLegendKey val="0"/>
              <c:showVal val="1"/>
              <c:showCatName val="0"/>
              <c:showSerName val="0"/>
              <c:showPercent val="0"/>
            </c:dLbl>
            <c:dLbl>
              <c:idx val="1"/>
              <c:dLblPos val="bestFit"/>
              <c:showLegendKey val="0"/>
              <c:showVal val="1"/>
              <c:showCatName val="0"/>
              <c:showSerName val="0"/>
              <c:showPercent val="0"/>
            </c:dLbl>
            <c:dLbl>
              <c:idx val="2"/>
              <c:dLblPos val="bestFit"/>
              <c:showLegendKey val="0"/>
              <c:showVal val="1"/>
              <c:showCatName val="0"/>
              <c:showSerName val="0"/>
              <c:showPercent val="0"/>
            </c:dLbl>
            <c:dLblPos val="bestFit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3"/>
                <c:pt idx="0">
                  <c:v>14</c:v>
                </c:pt>
                <c:pt idx="1">
                  <c:v>22</c:v>
                </c:pt>
                <c:pt idx="2">
                  <c:v>23</c:v>
                </c:pt>
              </c:numCache>
            </c:numRef>
          </c:val>
        </c:ser>
        <c:firstSliceAng val="0"/>
      </c:pieChart>
      <c:spPr>
        <a:noFill/>
        <a:ln>
          <a:noFill/>
        </a:ln>
      </c:spPr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b="0" sz="900" spc="-1" strike="noStrike">
              <a:solidFill>
                <a:srgbClr val="595959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200" spc="-1" strike="noStrike">
                <a:solidFill>
                  <a:srgbClr val="000000"/>
                </a:solidFill>
                <a:latin typeface="Calibri"/>
              </a:defRPr>
            </a:pPr>
            <a:r>
              <a:rPr b="0" sz="1200" spc="-1" strike="noStrike">
                <a:solidFill>
                  <a:srgbClr val="000000"/>
                </a:solidFill>
                <a:latin typeface="Calibri"/>
              </a:rPr>
              <a:t>Распределение пострадавших и погибших детей по гендерным признакам</a:t>
            </a:r>
          </a:p>
        </c:rich>
      </c:tx>
      <c:overlay val="0"/>
    </c:title>
    <c:autoTitleDeleted val="0"/>
    <c:plotArea>
      <c:pieChart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</c:spPr>
          <c:explosion val="0"/>
          <c:dPt>
            <c:idx val="0"/>
            <c:spPr>
              <a:solidFill>
                <a:srgbClr val="ffc000"/>
              </a:solidFill>
              <a:ln w="19080">
                <a:solidFill>
                  <a:srgbClr val="ffffff"/>
                </a:solidFill>
                <a:round/>
              </a:ln>
            </c:spPr>
          </c:dPt>
          <c:dPt>
            <c:idx val="1"/>
            <c:spPr>
              <a:solidFill>
                <a:srgbClr val="7030a0"/>
              </a:solidFill>
              <a:ln w="19080">
                <a:solidFill>
                  <a:srgbClr val="ffffff"/>
                </a:solidFill>
                <a:round/>
              </a:ln>
            </c:spPr>
          </c:dPt>
          <c:dLbls>
            <c:numFmt formatCode="General" sourceLinked="1"/>
            <c:dLbl>
              <c:idx val="0"/>
              <c:dLblPos val="bestFit"/>
              <c:showLegendKey val="0"/>
              <c:showVal val="1"/>
              <c:showCatName val="0"/>
              <c:showSerName val="0"/>
              <c:showPercent val="0"/>
            </c:dLbl>
            <c:dLbl>
              <c:idx val="1"/>
              <c:dLblPos val="bestFit"/>
              <c:showLegendKey val="0"/>
              <c:showVal val="1"/>
              <c:showCatName val="0"/>
              <c:showSerName val="0"/>
              <c:showPercent val="0"/>
            </c:dLbl>
            <c:dLblPos val="bestFit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2"/>
                <c:pt idx="0">
                  <c:v>30</c:v>
                </c:pt>
                <c:pt idx="1">
                  <c:v>29</c:v>
                </c:pt>
              </c:numCache>
            </c:numRef>
          </c:val>
        </c:ser>
        <c:firstSliceAng val="0"/>
      </c:pieChart>
      <c:spPr>
        <a:noFill/>
        <a:ln>
          <a:noFill/>
        </a:ln>
      </c:spPr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b="0" sz="900" spc="-1" strike="noStrike">
              <a:solidFill>
                <a:srgbClr val="595959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400" spc="-1" strike="noStrike">
                <a:solidFill>
                  <a:srgbClr val="595959"/>
                </a:solidFill>
                <a:latin typeface="Calibri"/>
              </a:defRPr>
            </a:pPr>
            <a:r>
              <a:rPr b="0" sz="1400" spc="-1" strike="noStrike">
                <a:solidFill>
                  <a:srgbClr val="595959"/>
                </a:solidFill>
                <a:latin typeface="Calibri"/>
              </a:rPr>
              <a:t>Распределение показателей в зависимости от погодных условий</a:t>
            </a:r>
          </a:p>
        </c:rich>
      </c:tx>
      <c:overlay val="0"/>
    </c:title>
    <c:autoTitleDeleted val="0"/>
    <c:plotArea>
      <c:bar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rgbClr val="70ad47"/>
            </a:solidFill>
            <a:ln>
              <a:noFill/>
            </a:ln>
          </c:spPr>
          <c:invertIfNegative val="0"/>
          <c:dLbls>
            <c:numFmt formatCode="General" sourceLinked="1"/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3"/>
                <c:pt idx="0">
                  <c:v>26</c:v>
                </c:pt>
                <c:pt idx="1">
                  <c:v>22</c:v>
                </c:pt>
                <c:pt idx="2">
                  <c:v>9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4472c4"/>
            </a:solidFill>
            <a:ln>
              <a:noFill/>
            </a:ln>
          </c:spPr>
          <c:invertIfNegative val="0"/>
          <c:dLbls>
            <c:numFmt formatCode="General" sourceLinked="1"/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3"/>
                <c:pt idx="0">
                  <c:v>27</c:v>
                </c:pt>
                <c:pt idx="1">
                  <c:v>23</c:v>
                </c:pt>
                <c:pt idx="2">
                  <c:v>8</c:v>
                </c:pt>
              </c:numCache>
            </c:numRef>
          </c:val>
        </c:ser>
        <c:ser>
          <c:idx val="2"/>
          <c:order val="2"/>
          <c:tx>
            <c:strRef>
              <c:f>label 2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</c:spPr>
          <c:invertIfNegative val="0"/>
          <c:dLbls>
            <c:numFmt formatCode="General" sourceLinked="1"/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2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</c:ser>
        <c:gapWidth val="219"/>
        <c:overlap val="-27"/>
        <c:axId val="57207583"/>
        <c:axId val="66213342"/>
      </c:barChart>
      <c:catAx>
        <c:axId val="57207583"/>
        <c:scaling>
          <c:orientation val="minMax"/>
        </c:scaling>
        <c:delete val="0"/>
        <c:axPos val="b"/>
        <c:numFmt formatCode="DD/MM/YYYY" sourceLinked="1"/>
        <c:majorTickMark val="none"/>
        <c:minorTickMark val="none"/>
        <c:tickLblPos val="nextTo"/>
        <c:spPr>
          <a:ln w="9360">
            <a:solidFill>
              <a:srgbClr val="d9d9d9"/>
            </a:solidFill>
            <a:round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66213342"/>
        <c:crosses val="autoZero"/>
        <c:auto val="1"/>
        <c:lblAlgn val="ctr"/>
        <c:lblOffset val="100"/>
      </c:catAx>
      <c:valAx>
        <c:axId val="66213342"/>
        <c:scaling>
          <c:orientation val="minMax"/>
        </c:scaling>
        <c:delete val="0"/>
        <c:axPos val="l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General" sourceLinked="0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57207583"/>
        <c:crosses val="autoZero"/>
      </c:valAx>
      <c:spPr>
        <a:noFill/>
        <a:ln>
          <a:noFill/>
        </a:ln>
      </c:spPr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b="0" sz="900" spc="-1" strike="noStrike">
              <a:solidFill>
                <a:srgbClr val="595959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400" spc="-1" strike="noStrike">
                <a:solidFill>
                  <a:srgbClr val="595959"/>
                </a:solidFill>
                <a:latin typeface="Calibri"/>
              </a:defRPr>
            </a:pPr>
            <a:r>
              <a:rPr b="0" sz="1400" spc="-1" strike="noStrike">
                <a:solidFill>
                  <a:srgbClr val="595959"/>
                </a:solidFill>
                <a:latin typeface="Calibri"/>
              </a:rPr>
              <a:t>Распределение ДТП по времени суток</a:t>
            </a:r>
          </a:p>
        </c:rich>
      </c:tx>
      <c:overlay val="0"/>
    </c:title>
    <c:autoTitleDeleted val="0"/>
    <c:plotArea>
      <c:bar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rgbClr val="70ad47"/>
            </a:solidFill>
            <a:ln>
              <a:noFill/>
            </a:ln>
          </c:spPr>
          <c:invertIfNegative val="0"/>
          <c:dLbls>
            <c:numFmt formatCode="General" sourceLinked="1"/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7"/>
                <c:pt idx="0">
                  <c:v>2</c:v>
                </c:pt>
                <c:pt idx="1">
                  <c:v>4</c:v>
                </c:pt>
                <c:pt idx="2">
                  <c:v>5</c:v>
                </c:pt>
                <c:pt idx="3">
                  <c:v>14</c:v>
                </c:pt>
                <c:pt idx="4">
                  <c:v>21</c:v>
                </c:pt>
                <c:pt idx="5">
                  <c:v>7</c:v>
                </c:pt>
                <c:pt idx="6">
                  <c:v>4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4472c4"/>
            </a:solidFill>
            <a:ln>
              <a:noFill/>
            </a:ln>
          </c:spPr>
          <c:invertIfNegative val="0"/>
          <c:dLbls>
            <c:numFmt formatCode="General" sourceLinked="1"/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7"/>
                <c:pt idx="0">
                  <c:v>1</c:v>
                </c:pt>
                <c:pt idx="1">
                  <c:v>5</c:v>
                </c:pt>
                <c:pt idx="2">
                  <c:v>5</c:v>
                </c:pt>
                <c:pt idx="3">
                  <c:v>14</c:v>
                </c:pt>
                <c:pt idx="4">
                  <c:v>22</c:v>
                </c:pt>
                <c:pt idx="5">
                  <c:v>7</c:v>
                </c:pt>
                <c:pt idx="6">
                  <c:v>4</c:v>
                </c:pt>
              </c:numCache>
            </c:numRef>
          </c:val>
        </c:ser>
        <c:ser>
          <c:idx val="2"/>
          <c:order val="2"/>
          <c:tx>
            <c:strRef>
              <c:f>label 2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</c:spPr>
          <c:invertIfNegative val="0"/>
          <c:dLbls>
            <c:numFmt formatCode="General" sourceLinked="1"/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2</c:f>
              <c:numCache>
                <c:formatCode>General</c:formatCode>
                <c:ptCount val="7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</c:ser>
        <c:gapWidth val="219"/>
        <c:overlap val="-27"/>
        <c:axId val="38932432"/>
        <c:axId val="27817902"/>
      </c:barChart>
      <c:catAx>
        <c:axId val="38932432"/>
        <c:scaling>
          <c:orientation val="minMax"/>
        </c:scaling>
        <c:delete val="0"/>
        <c:axPos val="b"/>
        <c:numFmt formatCode="DD/MM/YYYY" sourceLinked="1"/>
        <c:majorTickMark val="none"/>
        <c:minorTickMark val="none"/>
        <c:tickLblPos val="nextTo"/>
        <c:spPr>
          <a:ln w="9360">
            <a:solidFill>
              <a:srgbClr val="d9d9d9"/>
            </a:solidFill>
            <a:round/>
          </a:ln>
        </c:spPr>
        <c:txPr>
          <a:bodyPr/>
          <a:lstStyle/>
          <a:p>
            <a:pPr>
              <a:defRPr b="0" sz="7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27817902"/>
        <c:crosses val="autoZero"/>
        <c:auto val="1"/>
        <c:lblAlgn val="ctr"/>
        <c:lblOffset val="100"/>
      </c:catAx>
      <c:valAx>
        <c:axId val="27817902"/>
        <c:scaling>
          <c:orientation val="minMax"/>
        </c:scaling>
        <c:delete val="0"/>
        <c:axPos val="l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General" sourceLinked="0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38932432"/>
        <c:crosses val="autoZero"/>
      </c:valAx>
      <c:spPr>
        <a:noFill/>
        <a:ln>
          <a:noFill/>
        </a:ln>
      </c:spPr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b="0" sz="900" spc="-1" strike="noStrike">
              <a:solidFill>
                <a:srgbClr val="595959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400" spc="-1" strike="noStrike">
                <a:solidFill>
                  <a:srgbClr val="595959"/>
                </a:solidFill>
                <a:latin typeface="Calibri"/>
              </a:defRPr>
            </a:pPr>
            <a:r>
              <a:rPr b="0" sz="1400" spc="-1" strike="noStrike">
                <a:solidFill>
                  <a:srgbClr val="595959"/>
                </a:solidFill>
                <a:latin typeface="Calibri"/>
              </a:rPr>
              <a:t>Распределение ДТП по дням недели</a:t>
            </a:r>
          </a:p>
        </c:rich>
      </c:tx>
      <c:overlay val="0"/>
    </c:title>
    <c:autoTitleDeleted val="0"/>
    <c:plotArea>
      <c:bar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</c:spPr>
          <c:invertIfNegative val="0"/>
          <c:dLbls>
            <c:numFmt formatCode="General" sourceLinked="1"/>
            <c:dLbl>
              <c:idx val="1"/>
              <c:dLblPos val="outEnd"/>
              <c:showLegendKey val="0"/>
              <c:showVal val="1"/>
              <c:showCatName val="0"/>
              <c:showSerName val="0"/>
              <c:showPercent val="0"/>
            </c:dLbl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7"/>
                <c:pt idx="0">
                  <c:v>10</c:v>
                </c:pt>
                <c:pt idx="1">
                  <c:v>11</c:v>
                </c:pt>
                <c:pt idx="2">
                  <c:v>5</c:v>
                </c:pt>
                <c:pt idx="3">
                  <c:v>6</c:v>
                </c:pt>
                <c:pt idx="4">
                  <c:v>10</c:v>
                </c:pt>
                <c:pt idx="5">
                  <c:v>6</c:v>
                </c:pt>
                <c:pt idx="6">
                  <c:v>9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</c:spPr>
          <c:invertIfNegative val="0"/>
          <c:dLbls>
            <c:numFmt formatCode="General" sourceLinked="1"/>
            <c:dLbl>
              <c:idx val="1"/>
              <c:dLblPos val="outEnd"/>
              <c:showLegendKey val="0"/>
              <c:showVal val="1"/>
              <c:showCatName val="0"/>
              <c:showSerName val="0"/>
              <c:showPercent val="0"/>
            </c:dLbl>
            <c:dLbl>
              <c:idx val="6"/>
              <c:dLblPos val="outEnd"/>
              <c:showLegendKey val="0"/>
              <c:showVal val="1"/>
              <c:showCatName val="0"/>
              <c:showSerName val="0"/>
              <c:showPercent val="0"/>
            </c:dLbl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7"/>
                <c:pt idx="0">
                  <c:v>12</c:v>
                </c:pt>
                <c:pt idx="1">
                  <c:v>10</c:v>
                </c:pt>
                <c:pt idx="2">
                  <c:v>5</c:v>
                </c:pt>
                <c:pt idx="3">
                  <c:v>6</c:v>
                </c:pt>
                <c:pt idx="4">
                  <c:v>10</c:v>
                </c:pt>
                <c:pt idx="5">
                  <c:v>6</c:v>
                </c:pt>
                <c:pt idx="6">
                  <c:v>9</c:v>
                </c:pt>
              </c:numCache>
            </c:numRef>
          </c:val>
        </c:ser>
        <c:ser>
          <c:idx val="2"/>
          <c:order val="2"/>
          <c:tx>
            <c:strRef>
              <c:f>label 2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</c:spPr>
          <c:invertIfNegative val="0"/>
          <c:dLbls>
            <c:numFmt formatCode="General" sourceLinked="1"/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2</c:f>
              <c:numCache>
                <c:formatCode>General</c:formatCode>
                <c:ptCount val="7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</c:ser>
        <c:gapWidth val="219"/>
        <c:overlap val="0"/>
        <c:axId val="90832582"/>
        <c:axId val="68116883"/>
      </c:barChart>
      <c:catAx>
        <c:axId val="90832582"/>
        <c:scaling>
          <c:orientation val="minMax"/>
        </c:scaling>
        <c:delete val="0"/>
        <c:axPos val="b"/>
        <c:numFmt formatCode="DD/MM/YYYY" sourceLinked="1"/>
        <c:majorTickMark val="none"/>
        <c:minorTickMark val="none"/>
        <c:tickLblPos val="nextTo"/>
        <c:spPr>
          <a:ln w="9360">
            <a:solidFill>
              <a:srgbClr val="d9d9d9"/>
            </a:solidFill>
            <a:round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68116883"/>
        <c:crosses val="autoZero"/>
        <c:auto val="1"/>
        <c:lblAlgn val="ctr"/>
        <c:lblOffset val="100"/>
      </c:catAx>
      <c:valAx>
        <c:axId val="68116883"/>
        <c:scaling>
          <c:orientation val="minMax"/>
        </c:scaling>
        <c:delete val="0"/>
        <c:axPos val="l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General" sourceLinked="0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90832582"/>
        <c:crosses val="autoZero"/>
      </c:valAx>
      <c:spPr>
        <a:noFill/>
        <a:ln>
          <a:noFill/>
        </a:ln>
      </c:spPr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b="0" sz="900" spc="-1" strike="noStrike">
              <a:solidFill>
                <a:srgbClr val="595959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1" sz="1400" spc="-1" strike="noStrike">
                <a:solidFill>
                  <a:srgbClr val="595959"/>
                </a:solidFill>
                <a:latin typeface="Calibri"/>
              </a:defRPr>
            </a:pPr>
            <a:r>
              <a:rPr b="1" sz="1400" spc="-1" strike="noStrike">
                <a:solidFill>
                  <a:srgbClr val="595959"/>
                </a:solidFill>
                <a:latin typeface="Calibri"/>
              </a:rPr>
              <a:t>ДТП по видам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spPr>
        <a:solidFill>
          <a:srgbClr val="d9d9d9"/>
        </a:solidFill>
        <a:ln>
          <a:noFill/>
        </a:ln>
      </c:spPr>
    </c:floor>
    <c:sideWall>
      <c:spPr>
        <a:solidFill>
          <a:srgbClr val="d9d9d9"/>
        </a:solidFill>
        <a:ln>
          <a:noFill/>
        </a:ln>
      </c:spPr>
    </c:sideWall>
    <c:backWall>
      <c:spPr>
        <a:solidFill>
          <a:srgbClr val="d9d9d9"/>
        </a:solidFill>
        <a:ln>
          <a:noFill/>
        </a:ln>
      </c:spPr>
    </c:backWall>
    <c:plotArea>
      <c:pie3DChart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ДТП по видам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</c:spPr>
          <c:explosion val="0"/>
          <c:dPt>
            <c:idx val="0"/>
            <c:spPr>
              <a:solidFill>
                <a:srgbClr val="5b9bd5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1"/>
            <c:spPr>
              <a:solidFill>
                <a:srgbClr val="ed7d31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2"/>
            <c:spPr>
              <a:solidFill>
                <a:srgbClr val="a5a5a5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3"/>
            <c:spPr>
              <a:solidFill>
                <a:srgbClr val="ffc000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4"/>
            <c:spPr>
              <a:solidFill>
                <a:srgbClr val="4472c4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5"/>
            <c:spPr>
              <a:solidFill>
                <a:srgbClr val="70ad47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6"/>
            <c:spPr>
              <a:solidFill>
                <a:srgbClr val="255e91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7"/>
            <c:spPr>
              <a:solidFill>
                <a:srgbClr val="9e480e"/>
              </a:solidFill>
              <a:ln w="25560">
                <a:solidFill>
                  <a:srgbClr val="ffffff"/>
                </a:solidFill>
                <a:round/>
              </a:ln>
            </c:spPr>
          </c:dPt>
          <c:dLbls>
            <c:numFmt formatCode="General" sourceLinked="1"/>
            <c:dLbl>
              <c:idx val="0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1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2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3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4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5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6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7"/>
              <c:dLblPos val="bestFit"/>
              <c:showLegendKey val="0"/>
              <c:showVal val="1"/>
              <c:showCatName val="1"/>
              <c:showSerName val="0"/>
              <c:showPercent val="0"/>
            </c:dLbl>
            <c:dLblPos val="bestFit"/>
            <c:showLegendKey val="0"/>
            <c:showVal val="1"/>
            <c:showCatName val="1"/>
            <c:showSerName val="0"/>
            <c:showPercent val="0"/>
            <c:showLeaderLines val="0"/>
          </c:dLbls>
          <c:cat>
            <c:strRef>
              <c:f>categories</c:f>
              <c:strCache>
                <c:ptCount val="8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8"/>
                <c:pt idx="0">
                  <c:v>27</c:v>
                </c:pt>
                <c:pt idx="1">
                  <c:v>21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1</c:v>
                </c:pt>
                <c:pt idx="6">
                  <c:v/>
                </c:pt>
                <c:pt idx="7">
                  <c:v>2</c:v>
                </c:pt>
              </c:numCache>
            </c:numRef>
          </c:val>
        </c:ser>
      </c:pie3DChart>
    </c:plotArea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400" spc="-1" strike="noStrike">
                <a:solidFill>
                  <a:srgbClr val="595959"/>
                </a:solidFill>
                <a:latin typeface="Calibri"/>
              </a:defRPr>
            </a:pPr>
            <a:r>
              <a:rPr b="0" sz="1400" spc="-1" strike="noStrike">
                <a:solidFill>
                  <a:srgbClr val="595959"/>
                </a:solidFill>
                <a:latin typeface="Calibri"/>
              </a:rPr>
              <a:t>Распределение раненых и погибших в ДТП детей по значению дорог</a:t>
            </a:r>
          </a:p>
        </c:rich>
      </c:tx>
      <c:overlay val="0"/>
    </c:title>
    <c:autoTitleDeleted val="0"/>
    <c:plotArea>
      <c:barChart>
        <c:barDir val="bar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</c:spPr>
          <c:invertIfNegative val="0"/>
          <c:dLbls>
            <c:numFmt formatCode="General" sourceLinked="1"/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4"/>
                <c:pt idx="0">
                  <c:v/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4"/>
                <c:pt idx="0">
                  <c:v/>
                </c:pt>
                <c:pt idx="1">
                  <c:v>2</c:v>
                </c:pt>
                <c:pt idx="2">
                  <c:v>15</c:v>
                </c:pt>
                <c:pt idx="3">
                  <c:v>41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</c:spPr>
          <c:invertIfNegative val="0"/>
          <c:dLbls>
            <c:numFmt formatCode="General" sourceLinked="1"/>
            <c:dLbl>
              <c:idx val="1"/>
              <c:dLblPos val="outEnd"/>
              <c:showLegendKey val="0"/>
              <c:showVal val="1"/>
              <c:showCatName val="0"/>
              <c:showSerName val="0"/>
              <c:showPercent val="0"/>
            </c:dLbl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4"/>
                <c:pt idx="0">
                  <c:v/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4"/>
                <c:pt idx="0">
                  <c:v/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gapWidth val="182"/>
        <c:overlap val="0"/>
        <c:axId val="74701861"/>
        <c:axId val="36436989"/>
      </c:barChart>
      <c:catAx>
        <c:axId val="74701861"/>
        <c:scaling>
          <c:orientation val="minMax"/>
        </c:scaling>
        <c:delete val="0"/>
        <c:axPos val="b"/>
        <c:numFmt formatCode="DD/MM/YYYY" sourceLinked="1"/>
        <c:majorTickMark val="none"/>
        <c:minorTickMark val="none"/>
        <c:tickLblPos val="nextTo"/>
        <c:spPr>
          <a:ln w="9360">
            <a:solidFill>
              <a:srgbClr val="d9d9d9"/>
            </a:solidFill>
            <a:round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36436989"/>
        <c:crosses val="autoZero"/>
        <c:auto val="1"/>
        <c:lblAlgn val="ctr"/>
        <c:lblOffset val="100"/>
      </c:catAx>
      <c:valAx>
        <c:axId val="36436989"/>
        <c:scaling>
          <c:orientation val="minMax"/>
        </c:scaling>
        <c:delete val="0"/>
        <c:axPos val="l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General" sourceLinked="0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74701861"/>
        <c:crosses val="autoZero"/>
      </c:valAx>
      <c:spPr>
        <a:noFill/>
        <a:ln>
          <a:noFill/>
        </a:ln>
      </c:spPr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b="0" sz="900" spc="-1" strike="noStrike">
              <a:solidFill>
                <a:srgbClr val="595959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13D8FE-763D-440B-96B6-297F8F3F0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LibreOffice/6.0.5.2$Linux_X86_64 LibreOffice_project/00m0$Build-2</Application>
  <Pages>5</Pages>
  <Words>1146</Words>
  <Characters>6845</Characters>
  <CharactersWithSpaces>7993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2023-04-20T07:03:00Z</dcterms:created>
  <dc:creator>Пользователь</dc:creator>
  <dc:description/>
  <dc:language>ru-RU</dc:language>
  <cp:lastModifiedBy/>
  <cp:lastPrinted>2023-03-10T11:07:00Z</cp:lastPrinted>
  <dcterms:modified xsi:type="dcterms:W3CDTF">2023-05-05T16:45:45Z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